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01D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p>
    <w:p w14:paraId="4B5C4E9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sz w:val="44"/>
          <w:szCs w:val="44"/>
          <w:lang w:eastAsia="zh-CN"/>
        </w:rPr>
        <w:t>南昌市长期护理保险实施办法</w:t>
      </w:r>
    </w:p>
    <w:p w14:paraId="11F484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（征求意见稿）</w:t>
      </w:r>
    </w:p>
    <w:p w14:paraId="0937723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p>
    <w:p w14:paraId="3D01E5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eastAsia="zh-CN"/>
        </w:rPr>
        <w:t>为建立长期护理保险制度，促进完善我市医疗保障体系建设，积极应对人口老龄化，保障失能人员基本护理需求，根据</w:t>
      </w:r>
      <w:r>
        <w:rPr>
          <w:rFonts w:hint="eastAsia" w:ascii="仿宋_GB2312" w:hAnsi="CESI仿宋-GB2312" w:eastAsia="仿宋_GB2312" w:cs="CESI仿宋-GB2312"/>
          <w:color w:val="000000"/>
          <w:kern w:val="0"/>
          <w:sz w:val="32"/>
          <w:szCs w:val="32"/>
          <w:lang w:val="en-US" w:eastAsia="zh-CN" w:bidi="ar"/>
        </w:rPr>
        <w:t>《国家医保局 财政部关于扩大长期护理保险制度试点的指导意见》（医保发〔2020〕37号）等</w:t>
      </w:r>
      <w:r>
        <w:rPr>
          <w:rFonts w:hint="eastAsia" w:ascii="仿宋_GB2312" w:hAnsi="仿宋_GB2312" w:eastAsia="仿宋_GB2312" w:cs="仿宋_GB2312"/>
          <w:sz w:val="32"/>
          <w:szCs w:val="32"/>
          <w:lang w:val="en-US" w:eastAsia="zh-CN"/>
        </w:rPr>
        <w:t>文件精神，结合我市实际，</w:t>
      </w:r>
      <w:r>
        <w:rPr>
          <w:rFonts w:hint="eastAsia" w:ascii="仿宋_GB2312" w:hAnsi="仿宋_GB2312" w:eastAsia="仿宋_GB2312" w:cs="仿宋_GB2312"/>
          <w:color w:val="auto"/>
          <w:sz w:val="32"/>
          <w:szCs w:val="32"/>
          <w:lang w:val="en-US" w:eastAsia="zh-CN"/>
        </w:rPr>
        <w:t>制定本实施办法。</w:t>
      </w:r>
    </w:p>
    <w:p w14:paraId="1AF301C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一、指导思想</w:t>
      </w:r>
    </w:p>
    <w:p w14:paraId="0F9D76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习近平新时代中国特色社会主义思想为指导，全面贯彻党的二十大和二十届三中全会精神，坚持以人民健康为中心，建立适应我市实际的长期护理保险制度，进一步健全更加公平、可持续的医疗保障体系，提高人文关怀水平，促进长期护理服务产业发展，助力健康南昌建设，不断提高人民群众的获得感、幸福感和安全感。</w:t>
      </w:r>
    </w:p>
    <w:p w14:paraId="2A461FD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二、目标任务</w:t>
      </w:r>
    </w:p>
    <w:p w14:paraId="2E67EF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建立覆盖全市基本医疗保险参保人的长期护理保险制度，完善</w:t>
      </w:r>
      <w:r>
        <w:rPr>
          <w:rFonts w:hint="eastAsia" w:ascii="仿宋_GB2312" w:hAnsi="仿宋_GB2312" w:eastAsia="仿宋_GB2312" w:cs="仿宋_GB2312"/>
          <w:color w:val="auto"/>
          <w:sz w:val="32"/>
          <w:szCs w:val="32"/>
          <w:lang w:val="en-US" w:eastAsia="zh-CN"/>
        </w:rPr>
        <w:t>多方分</w:t>
      </w:r>
      <w:r>
        <w:rPr>
          <w:rFonts w:hint="eastAsia" w:ascii="仿宋_GB2312" w:hAnsi="仿宋_GB2312" w:eastAsia="仿宋_GB2312" w:cs="仿宋_GB2312"/>
          <w:sz w:val="32"/>
          <w:szCs w:val="32"/>
          <w:lang w:val="en-US" w:eastAsia="zh-CN"/>
        </w:rPr>
        <w:t>担的筹资机制，执行公平准入、规范服务的标准体系，制定待遇适度、可持续的支付政策，明确各相关单位工作职责。</w:t>
      </w:r>
    </w:p>
    <w:p w14:paraId="1FCD329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三、基本原则</w:t>
      </w:r>
    </w:p>
    <w:p w14:paraId="540359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坚持以人为本，优先解决重度失能人员长期护理保障问题，适时扩大到中度失能及重度失智人员。</w:t>
      </w:r>
    </w:p>
    <w:p w14:paraId="51DABA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坚持政府主导，发挥政府在政策导向、资金筹集、运行管理等方面的主导作用，鼓励社会力量参与失能评估、护理服务和经办服务，共同推进长期护理保险制度体系建设。</w:t>
      </w:r>
    </w:p>
    <w:p w14:paraId="1B1020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坚持稳妥推进，从保障职工基本医疗保险参保人群起步，逐步推广到保障城乡居民基本医疗保险参保人群。</w:t>
      </w:r>
    </w:p>
    <w:p w14:paraId="34163C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坚持</w:t>
      </w:r>
      <w:r>
        <w:rPr>
          <w:rFonts w:hint="eastAsia" w:ascii="仿宋_GB2312" w:hAnsi="仿宋_GB2312" w:eastAsia="仿宋_GB2312" w:cs="仿宋_GB2312"/>
          <w:sz w:val="32"/>
          <w:szCs w:val="32"/>
          <w:lang w:val="en-US" w:eastAsia="zh-CN"/>
        </w:rPr>
        <w:t>独立运行，建立独立险种，独立设计、独立推进。</w:t>
      </w:r>
    </w:p>
    <w:p w14:paraId="13D25A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坚持责任共担，合理确定筹资责任、盈亏比例和保障范围，实现制度可持续发展。</w:t>
      </w:r>
    </w:p>
    <w:p w14:paraId="17BEC58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四、基本政策</w:t>
      </w:r>
    </w:p>
    <w:p w14:paraId="666B34D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（一）参保范围。</w:t>
      </w:r>
      <w:r>
        <w:rPr>
          <w:rFonts w:hint="eastAsia" w:ascii="仿宋_GB2312" w:hAnsi="仿宋_GB2312" w:eastAsia="仿宋_GB2312" w:cs="仿宋_GB2312"/>
          <w:sz w:val="32"/>
          <w:szCs w:val="32"/>
          <w:lang w:val="en-US" w:eastAsia="zh-CN"/>
        </w:rPr>
        <w:t>从我市职工基本医疗保险参保人起步（除已享受工伤保险基金支付生活护理费的人员），适时扩大到城乡居民基本医疗保险参保人。</w:t>
      </w:r>
    </w:p>
    <w:p w14:paraId="78BDD5D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（二）基金筹集。</w:t>
      </w:r>
      <w:r>
        <w:rPr>
          <w:rFonts w:hint="eastAsia" w:ascii="仿宋_GB2312" w:hAnsi="仿宋_GB2312" w:eastAsia="仿宋_GB2312" w:cs="仿宋_GB2312"/>
          <w:sz w:val="32"/>
          <w:szCs w:val="32"/>
          <w:lang w:val="en-US" w:eastAsia="zh-CN"/>
        </w:rPr>
        <w:t>建立长期护理保险基金，主要通过用人单位、参保人缴费和财政补助方式筹集，鼓励社会捐助，推动长期护理保险与经济困难的高龄、失能老年人补贴及重度残疾人护理补贴等政策的整合衔接。</w:t>
      </w:r>
    </w:p>
    <w:p w14:paraId="28F0250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（三）筹资标准</w:t>
      </w:r>
    </w:p>
    <w:p w14:paraId="26C7549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color w:val="auto"/>
          <w:sz w:val="32"/>
          <w:szCs w:val="32"/>
          <w:lang w:val="en-US" w:eastAsia="zh-CN"/>
        </w:rPr>
        <w:t>1.缴费比例。</w:t>
      </w:r>
      <w:r>
        <w:rPr>
          <w:rFonts w:hint="eastAsia" w:ascii="仿宋_GB2312" w:hAnsi="仿宋_GB2312" w:eastAsia="仿宋_GB2312" w:cs="仿宋_GB2312"/>
          <w:sz w:val="32"/>
          <w:szCs w:val="32"/>
          <w:lang w:val="en-US" w:eastAsia="zh-CN"/>
        </w:rPr>
        <w:t>在职职工以个人当年职工基本医疗保险缴费基数为长期护理保险缴费基数，起步阶段缴费比例为0.2%，视运行情况逐步调整至0.3%。用人单位和参保人按照同等比例分担，18周岁以下参保不缴费。</w:t>
      </w:r>
    </w:p>
    <w:p w14:paraId="1EE86D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退休职工以本人上年度末基本养老金为长期护理保险缴费基数，起步阶段缴费比例为0.1%，单位不缴费，视运行情况逐步调整至0.15%。</w:t>
      </w:r>
    </w:p>
    <w:p w14:paraId="762562C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2.缴纳方式。</w:t>
      </w:r>
      <w:r>
        <w:rPr>
          <w:rFonts w:hint="eastAsia" w:ascii="仿宋_GB2312" w:hAnsi="仿宋_GB2312" w:eastAsia="仿宋_GB2312" w:cs="仿宋_GB2312"/>
          <w:sz w:val="32"/>
          <w:szCs w:val="32"/>
          <w:lang w:val="en-US" w:eastAsia="zh-CN"/>
        </w:rPr>
        <w:t>在职职工</w:t>
      </w:r>
      <w:r>
        <w:rPr>
          <w:rFonts w:hint="eastAsia" w:ascii="仿宋_GB2312" w:hAnsi="仿宋_GB2312" w:eastAsia="仿宋_GB2312" w:cs="仿宋_GB2312"/>
          <w:sz w:val="32"/>
          <w:szCs w:val="32"/>
        </w:rPr>
        <w:t>用人单位承担部分通过</w:t>
      </w:r>
      <w:r>
        <w:rPr>
          <w:rFonts w:hint="eastAsia" w:ascii="仿宋_GB2312" w:hAnsi="仿宋_GB2312" w:eastAsia="仿宋_GB2312" w:cs="仿宋_GB2312"/>
          <w:sz w:val="32"/>
          <w:szCs w:val="32"/>
          <w:lang w:eastAsia="zh-CN"/>
        </w:rPr>
        <w:t>职工基本医疗保险费</w:t>
      </w:r>
      <w:r>
        <w:rPr>
          <w:rFonts w:hint="eastAsia" w:ascii="仿宋_GB2312" w:hAnsi="仿宋_GB2312" w:eastAsia="仿宋_GB2312" w:cs="仿宋_GB2312"/>
          <w:sz w:val="32"/>
          <w:szCs w:val="32"/>
        </w:rPr>
        <w:t>费率平移转换</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方式暂从其缴纳的职工</w:t>
      </w:r>
      <w:r>
        <w:rPr>
          <w:rFonts w:hint="eastAsia" w:ascii="仿宋_GB2312" w:hAnsi="仿宋_GB2312" w:eastAsia="仿宋_GB2312" w:cs="仿宋_GB2312"/>
          <w:sz w:val="32"/>
          <w:szCs w:val="32"/>
          <w:lang w:eastAsia="zh-CN"/>
        </w:rPr>
        <w:t>基本医疗保险</w:t>
      </w:r>
      <w:r>
        <w:rPr>
          <w:rFonts w:hint="eastAsia" w:ascii="仿宋_GB2312" w:hAnsi="仿宋_GB2312" w:eastAsia="仿宋_GB2312" w:cs="仿宋_GB2312"/>
          <w:sz w:val="32"/>
          <w:szCs w:val="32"/>
        </w:rPr>
        <w:t>费中划转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视长期护理保险基金运行情况逐步过渡到用人单位实缴。参保人个人承担部分每月从划入职工个人账户的金额中扣缴。</w:t>
      </w:r>
    </w:p>
    <w:p w14:paraId="582D52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退休职工个人承担部分起步阶段由职工基本医疗保险基金代缴，视长期护理保险基金运行情况逐步过渡到从个人账户的金额中扣缴。</w:t>
      </w:r>
    </w:p>
    <w:p w14:paraId="7679D5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鼓励灵活就业人员按单位职工缴费费率参保，由个人按规定缴费。</w:t>
      </w:r>
    </w:p>
    <w:p w14:paraId="3A349B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关闭</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破产</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改制及困难企业单位</w:t>
      </w:r>
      <w:r>
        <w:rPr>
          <w:rFonts w:hint="eastAsia" w:ascii="仿宋_GB2312" w:hAnsi="仿宋_GB2312" w:eastAsia="仿宋_GB2312" w:cs="仿宋_GB2312"/>
          <w:sz w:val="32"/>
          <w:szCs w:val="32"/>
          <w:lang w:val="en-US" w:eastAsia="zh-CN"/>
        </w:rPr>
        <w:t>在职（内退）及</w:t>
      </w:r>
      <w:r>
        <w:rPr>
          <w:rFonts w:hint="default" w:ascii="仿宋_GB2312" w:hAnsi="仿宋_GB2312" w:eastAsia="仿宋_GB2312" w:cs="仿宋_GB2312"/>
          <w:sz w:val="32"/>
          <w:szCs w:val="32"/>
          <w:lang w:val="en-US" w:eastAsia="zh-CN"/>
        </w:rPr>
        <w:t>退休</w:t>
      </w:r>
      <w:r>
        <w:rPr>
          <w:rFonts w:hint="eastAsia" w:ascii="仿宋_GB2312" w:hAnsi="仿宋_GB2312" w:eastAsia="仿宋_GB2312" w:cs="仿宋_GB2312"/>
          <w:sz w:val="32"/>
          <w:szCs w:val="32"/>
          <w:lang w:val="en-US" w:eastAsia="zh-CN"/>
        </w:rPr>
        <w:t>职工参加长期护理保险政策参照职工基本医疗保险政策，</w:t>
      </w:r>
      <w:r>
        <w:rPr>
          <w:rFonts w:hint="default" w:ascii="仿宋_GB2312" w:hAnsi="仿宋_GB2312" w:eastAsia="仿宋_GB2312" w:cs="仿宋_GB2312"/>
          <w:sz w:val="32"/>
          <w:szCs w:val="32"/>
          <w:lang w:val="en-US" w:eastAsia="zh-CN"/>
        </w:rPr>
        <w:t>由</w:t>
      </w:r>
      <w:r>
        <w:rPr>
          <w:rFonts w:hint="eastAsia" w:ascii="仿宋_GB2312" w:hAnsi="仿宋_GB2312" w:eastAsia="仿宋_GB2312" w:cs="仿宋_GB2312"/>
          <w:sz w:val="32"/>
          <w:szCs w:val="32"/>
          <w:lang w:val="en-US" w:eastAsia="zh-CN"/>
        </w:rPr>
        <w:t>各</w:t>
      </w:r>
      <w:r>
        <w:rPr>
          <w:rFonts w:hint="default" w:ascii="仿宋_GB2312" w:hAnsi="仿宋_GB2312" w:eastAsia="仿宋_GB2312" w:cs="仿宋_GB2312"/>
          <w:sz w:val="32"/>
          <w:szCs w:val="32"/>
          <w:lang w:val="en-US" w:eastAsia="zh-CN"/>
        </w:rPr>
        <w:t>级财政统筹安排财政资金予以补助</w:t>
      </w:r>
      <w:r>
        <w:rPr>
          <w:rFonts w:hint="eastAsia" w:ascii="仿宋_GB2312" w:hAnsi="仿宋_GB2312" w:eastAsia="仿宋_GB2312" w:cs="仿宋_GB2312"/>
          <w:sz w:val="32"/>
          <w:szCs w:val="32"/>
          <w:lang w:val="en-US" w:eastAsia="zh-CN"/>
        </w:rPr>
        <w:t>。</w:t>
      </w:r>
    </w:p>
    <w:p w14:paraId="2A8656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市医保局、市财政局对长期护理保险基金收支情况进行监控和预测分析，在当期基金结余低于5%时及时提出平衡收支的对策和措施。</w:t>
      </w:r>
    </w:p>
    <w:p w14:paraId="0C6D93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长期护理保险基金出现运行风险或上级有新的政策规定，市医保局会同市财政局对筹资标准提出调整意见报市政府批准后执行。</w:t>
      </w:r>
    </w:p>
    <w:p w14:paraId="641A899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（四）评估管理</w:t>
      </w:r>
    </w:p>
    <w:p w14:paraId="48D579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长期护理保险参保人因年老、疾病、伤残等原因导致生活不能自理，经医疗机构或康复机构规范诊疗、失能状态持续6个月以上，可向长期护理保险定点失能评估机构申请失能等级评估。</w:t>
      </w:r>
    </w:p>
    <w:p w14:paraId="786587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auto"/>
          <w:sz w:val="32"/>
          <w:szCs w:val="32"/>
          <w:lang w:val="en-US" w:eastAsia="zh-CN"/>
        </w:rPr>
        <w:t>根据工作需要，可由市医保局会同相关单位在国家、省政策基础上，结合我市实际，另行制定我市</w:t>
      </w:r>
      <w:r>
        <w:rPr>
          <w:rFonts w:hint="eastAsia" w:ascii="仿宋_GB2312" w:hAnsi="仿宋_GB2312" w:eastAsia="仿宋_GB2312" w:cs="仿宋_GB2312"/>
          <w:sz w:val="32"/>
          <w:szCs w:val="32"/>
          <w:lang w:val="en-US" w:eastAsia="zh-CN"/>
        </w:rPr>
        <w:t>长期护理保险失能等级评估管理办法及</w:t>
      </w:r>
      <w:r>
        <w:rPr>
          <w:rFonts w:hint="eastAsia" w:ascii="仿宋_GB2312" w:hAnsi="仿宋_GB2312" w:eastAsia="仿宋_GB2312" w:cs="仿宋_GB2312"/>
          <w:b w:val="0"/>
          <w:bCs w:val="0"/>
          <w:color w:val="auto"/>
          <w:sz w:val="32"/>
          <w:szCs w:val="32"/>
          <w:lang w:val="en-US" w:eastAsia="zh-CN"/>
        </w:rPr>
        <w:t>定点管理办法。</w:t>
      </w:r>
    </w:p>
    <w:p w14:paraId="38554C5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（五）待遇保障</w:t>
      </w:r>
    </w:p>
    <w:p w14:paraId="3E2C34B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1.支付条件。</w:t>
      </w:r>
      <w:r>
        <w:rPr>
          <w:rFonts w:hint="eastAsia" w:ascii="仿宋_GB2312" w:hAnsi="仿宋_GB2312" w:eastAsia="仿宋_GB2312" w:cs="仿宋_GB2312"/>
          <w:sz w:val="32"/>
          <w:szCs w:val="32"/>
          <w:lang w:val="en-US" w:eastAsia="zh-CN"/>
        </w:rPr>
        <w:t>长期护理保险参保人经申请失能等级评估评定的重度失能人员，且在我市连续参保缴费（含视同缴费）职工基本医疗保险满1年，可按规定享受长期护理保险待遇。</w:t>
      </w:r>
    </w:p>
    <w:p w14:paraId="08036FA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2.护理服务范围。</w:t>
      </w:r>
    </w:p>
    <w:p w14:paraId="51AE696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(1)护理服务类型。</w:t>
      </w:r>
      <w:r>
        <w:rPr>
          <w:rFonts w:hint="eastAsia" w:ascii="仿宋_GB2312" w:hAnsi="仿宋_GB2312" w:eastAsia="仿宋_GB2312" w:cs="仿宋_GB2312"/>
          <w:sz w:val="32"/>
          <w:szCs w:val="32"/>
          <w:lang w:val="en-US" w:eastAsia="zh-CN"/>
        </w:rPr>
        <w:t>符合长期护理保险待遇享受条件的人员可选择以下护理服务类型：</w:t>
      </w:r>
    </w:p>
    <w:p w14:paraId="02F57B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机构护理。长期护理保险定点护理服务机构在所开设的机构内为参保人提供全日制的长期护理服务。</w:t>
      </w:r>
    </w:p>
    <w:p w14:paraId="253403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社区护理。长期护理保险定点护理服务机构以社区为依托，为参保人提供非全日制的长期护理服务。</w:t>
      </w:r>
    </w:p>
    <w:p w14:paraId="4A9410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居家护理。长期护理保险定点护理服务机构在参保人所居住的家庭住所内为参保人提供长期护理服务。</w:t>
      </w:r>
    </w:p>
    <w:p w14:paraId="4AC018A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sz w:val="32"/>
          <w:szCs w:val="32"/>
          <w:lang w:val="en-US" w:eastAsia="zh-CN"/>
        </w:rPr>
        <w:t>(2)护理</w:t>
      </w:r>
      <w:r>
        <w:rPr>
          <w:rFonts w:hint="eastAsia" w:ascii="仿宋_GB2312" w:hAnsi="仿宋_GB2312" w:eastAsia="仿宋_GB2312" w:cs="仿宋_GB2312"/>
          <w:b/>
          <w:bCs/>
          <w:color w:val="auto"/>
          <w:sz w:val="32"/>
          <w:szCs w:val="32"/>
          <w:lang w:val="en-US" w:eastAsia="zh-CN"/>
        </w:rPr>
        <w:t>服务项目。</w:t>
      </w:r>
      <w:r>
        <w:rPr>
          <w:rFonts w:hint="eastAsia" w:ascii="仿宋_GB2312" w:hAnsi="仿宋_GB2312" w:eastAsia="仿宋_GB2312" w:cs="仿宋_GB2312"/>
          <w:color w:val="auto"/>
          <w:sz w:val="32"/>
          <w:szCs w:val="32"/>
          <w:lang w:val="en-US" w:eastAsia="zh-CN"/>
        </w:rPr>
        <w:t>护理服务项目参照国家、省文件要求执行。</w:t>
      </w:r>
    </w:p>
    <w:p w14:paraId="4ABD40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具体护理服务项目及服务价格由市医保局会同相关单位制定，国家、省有新规定的，从其规定。</w:t>
      </w:r>
    </w:p>
    <w:p w14:paraId="74D9CCB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auto"/>
          <w:sz w:val="32"/>
          <w:szCs w:val="32"/>
          <w:lang w:val="en-US" w:eastAsia="zh-CN"/>
        </w:rPr>
        <w:t>(3)待遇支付标准。</w:t>
      </w:r>
      <w:r>
        <w:rPr>
          <w:rFonts w:hint="eastAsia" w:ascii="仿宋_GB2312" w:hAnsi="仿宋_GB2312" w:eastAsia="仿宋_GB2312" w:cs="仿宋_GB2312"/>
          <w:sz w:val="32"/>
          <w:szCs w:val="32"/>
          <w:lang w:val="en-US" w:eastAsia="zh-CN"/>
        </w:rPr>
        <w:t>符合长期护理保险待遇享受条件的重度失能人员，接受相应的护理服务类型，发生符合护理服务项目的护理服务费用，不设起付线，按照重度失能等级，长期护理保险基金支付比例在70%左右，适当向居家护理和社区护理倾斜。</w:t>
      </w:r>
    </w:p>
    <w:p w14:paraId="5919E8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适时将辅助器具、智能化设备使用费纳入长期护理保险保障范围，具体办法由市医保局会同市财政局等相关单位另行制定。</w:t>
      </w:r>
    </w:p>
    <w:p w14:paraId="41C0BBC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(4)待遇计算方式。</w:t>
      </w:r>
      <w:r>
        <w:rPr>
          <w:rFonts w:hint="eastAsia" w:ascii="仿宋_GB2312" w:hAnsi="仿宋_GB2312" w:eastAsia="仿宋_GB2312" w:cs="仿宋_GB2312"/>
          <w:color w:val="auto"/>
          <w:sz w:val="32"/>
          <w:szCs w:val="32"/>
          <w:lang w:val="en-US" w:eastAsia="zh-CN"/>
        </w:rPr>
        <w:t>经失能等级评估符合长期护理保险支付条件的重度失能人员，评估结论公示无异议后，从定</w:t>
      </w:r>
      <w:r>
        <w:rPr>
          <w:rFonts w:hint="eastAsia" w:ascii="仿宋_GB2312" w:hAnsi="仿宋_GB2312" w:eastAsia="仿宋_GB2312" w:cs="仿宋_GB2312"/>
          <w:sz w:val="32"/>
          <w:szCs w:val="32"/>
          <w:lang w:val="en-US" w:eastAsia="zh-CN"/>
        </w:rPr>
        <w:t>点护理服务机构按规定提供服务之日起享受长期护理保险待遇</w:t>
      </w:r>
      <w:r>
        <w:rPr>
          <w:rFonts w:hint="eastAsia" w:ascii="仿宋_GB2312" w:hAnsi="仿宋_GB2312" w:eastAsia="仿宋_GB2312" w:cs="仿宋_GB2312"/>
          <w:color w:val="auto"/>
          <w:sz w:val="32"/>
          <w:szCs w:val="32"/>
          <w:lang w:val="en-US" w:eastAsia="zh-CN"/>
        </w:rPr>
        <w:t>。重度失能人员因病住院治疗，从入院次日起停止其享受长期护理保险待遇，出院次日按规定恢复其享受相应的长期护理保险待遇。</w:t>
      </w:r>
    </w:p>
    <w:p w14:paraId="0C77DF4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（六）基金管理。</w:t>
      </w:r>
      <w:r>
        <w:rPr>
          <w:rFonts w:hint="eastAsia" w:ascii="仿宋_GB2312" w:hAnsi="仿宋_GB2312" w:eastAsia="仿宋_GB2312" w:cs="仿宋_GB2312"/>
          <w:color w:val="auto"/>
          <w:sz w:val="32"/>
          <w:szCs w:val="32"/>
          <w:lang w:val="en-US" w:eastAsia="zh-CN"/>
        </w:rPr>
        <w:t>长期护理保险基金实行市级统收统支管理，不设个人账户，主要用于长期护理保险待遇支付、失能评估费用支付和承办机构盈亏</w:t>
      </w:r>
      <w:bookmarkStart w:id="0" w:name="_GoBack"/>
      <w:bookmarkEnd w:id="0"/>
      <w:r>
        <w:rPr>
          <w:rFonts w:hint="eastAsia" w:ascii="仿宋_GB2312" w:hAnsi="仿宋_GB2312" w:eastAsia="仿宋_GB2312" w:cs="仿宋_GB2312"/>
          <w:color w:val="auto"/>
          <w:sz w:val="32"/>
          <w:szCs w:val="32"/>
          <w:lang w:val="en-US" w:eastAsia="zh-CN"/>
        </w:rPr>
        <w:t>费用支出。按照社会保险基金管理要求，按照以收定支、收支平衡、略有结余的原则筹集和使用，单独建账、单独核算、专款专用，任何单位和个人不得挤占、挪用，接受审计、财会和社会监督。长期护理保险基金实行专户管理与基金预决算管理。</w:t>
      </w:r>
    </w:p>
    <w:p w14:paraId="63EB8DD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（七）服务管理。</w:t>
      </w:r>
      <w:r>
        <w:rPr>
          <w:rFonts w:hint="eastAsia" w:ascii="仿宋_GB2312" w:hAnsi="仿宋_GB2312" w:eastAsia="仿宋_GB2312" w:cs="仿宋_GB2312"/>
          <w:color w:val="auto"/>
          <w:sz w:val="32"/>
          <w:szCs w:val="32"/>
          <w:lang w:val="en-US" w:eastAsia="zh-CN"/>
        </w:rPr>
        <w:t>长期护理保险定点护理服务机构实行定点协议管理，具备资质并有意愿按照我市长期护理保险服务项目和内容提供服务的医疗机构、护理院（站）、各类养老护理服务机构和居家护理服务机构，均可向我市医疗保障经办机构申请，通过审核评估后，纳入长期护理保险定点护理服务机构协议管理。</w:t>
      </w:r>
    </w:p>
    <w:p w14:paraId="70339B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根据工作需要，可由市医保局在国家、省政策基础上，结合我市实际，</w:t>
      </w:r>
      <w:r>
        <w:rPr>
          <w:rFonts w:hint="eastAsia" w:ascii="仿宋_GB2312" w:hAnsi="仿宋_GB2312" w:eastAsia="仿宋_GB2312" w:cs="仿宋_GB2312"/>
          <w:color w:val="auto"/>
          <w:sz w:val="32"/>
          <w:szCs w:val="32"/>
          <w:lang w:val="en-US" w:eastAsia="zh-CN"/>
        </w:rPr>
        <w:t>另行制定长期护理保险定点护理服务机构定点管理办法。</w:t>
      </w:r>
    </w:p>
    <w:p w14:paraId="624C0C7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（八）经办管理</w:t>
      </w:r>
    </w:p>
    <w:p w14:paraId="369DF9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在确保基金安全和监管有效的前提下，市医保局会同市财政局等相关单位通过公开招标的方式引入第三方机构等社会力量参与长期护理保险经办管理服务，遵循收支平衡、保本微利的原则，参照我市大病保险盈亏分担模式，建立盈亏分担机制，起步阶段第三方机构等社会力量的盈利率为4%，超额盈余转入长期护理保险基金，经营性亏损由第三方机构等社会力量自负盈亏。对于政策性亏损，通过与第三方机构等社会力量平等协商政策性亏损原则，由长期护理保险基金和第三方机构等社会力量合理分担，政策性亏损8%以下部分，由长期护理保险基金和第三方机构等社会力量各分担一半，超过8%的部分，由第三方机构等社会力量全额负担。</w:t>
      </w:r>
    </w:p>
    <w:p w14:paraId="6095BC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国家、省对承办模式及费率等出台新的文件精神，由市医保局会同市财政局等相关单位提出调整意见，报市政府批准后执行。</w:t>
      </w:r>
    </w:p>
    <w:p w14:paraId="54E61A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第三方机构等社会力量考核评价办法由市医保局会同市财政局、市民政局、市卫健委、市地方金融管理局等部门另行制定并组织实施。</w:t>
      </w:r>
    </w:p>
    <w:p w14:paraId="1C9FF10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五、工作要求</w:t>
      </w:r>
    </w:p>
    <w:p w14:paraId="037A05E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（一）加强组织领导</w:t>
      </w:r>
    </w:p>
    <w:p w14:paraId="1EFD6D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县区、各单位要进一步提高政治站位，深刻领会长期护理保险对构建更加全面更加完善的社会保障体系的重要性和必要性，充分认识其对着力解决失能人员长期护理基本保障需求的重大意义，强化组织协调，加强工作调度。</w:t>
      </w:r>
    </w:p>
    <w:p w14:paraId="5274D94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（二）落实责任分工</w:t>
      </w:r>
    </w:p>
    <w:p w14:paraId="6611D3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医疗保障部门负责全市长期护理保险的组织实施，加强对基金筹集、失能等级评估、待遇支付、协议管理等环节的监督管理，做好对长期护理保险基金运行的监测分析，确保长期护理保险基金安全可持续。会同相关单位制定具体实施细则和其它配套性文件并组织实施。</w:t>
      </w:r>
    </w:p>
    <w:p w14:paraId="2AC290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财政部门负责落实长期护理保险相关工作经费，加强对基金筹集、管理和使用的监督；负责会同医疗保障部门制定、调整完善长期护理保险筹资和待遇标准等工作。</w:t>
      </w:r>
    </w:p>
    <w:p w14:paraId="03E713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民政部门负责加强对养老服务机构的行业管理，统筹配置养老服务资源，配合医疗保障部门规范定点养老服务护理机构的服务行为；配合医疗保障部门做好失能等级评估、评估人员管理；配合医疗保障部门建立失能等级评估结果互认、评估数据共享、评估效果评价等协作机制。</w:t>
      </w:r>
    </w:p>
    <w:p w14:paraId="6D4CF4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卫健部门负责做好含医疗护理的定点护理服务机构的医疗行为管理和技术指导等工作。配合医疗保障部门做好失能等级评估、评估人员管理。</w:t>
      </w:r>
    </w:p>
    <w:p w14:paraId="2D30FE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人社部门负责落实职业技能培训政策，指导和规范长期护理服务专项能力考核；配合医疗保障部门做好已享受工伤保险基金支付生活护理费的工伤人员信息共享。</w:t>
      </w:r>
    </w:p>
    <w:p w14:paraId="1A7504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地方金融管理部门负责做好第三方机构等社会力量的监督管理及考核评价工作。</w:t>
      </w:r>
    </w:p>
    <w:p w14:paraId="336BF6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税务部门负责做好长期护理保险保费征收工作。</w:t>
      </w:r>
    </w:p>
    <w:p w14:paraId="273CF7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残联部门负责做好长期护理保险制度与残疾保障制度的衔接工作，配合医疗保障部门做好丧失劳动能力残疾人身份认定的数据共享。</w:t>
      </w:r>
    </w:p>
    <w:p w14:paraId="0BB17C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市场监管部门负责对医疗机构、零售药店的药品、医疗器械进行质量监管，配合医疗保障部门联合查处欺诈骗保行为。</w:t>
      </w:r>
    </w:p>
    <w:p w14:paraId="117495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政府有关部门按照各自职责，协同做好长期护理保险实施的相关工作。</w:t>
      </w:r>
    </w:p>
    <w:p w14:paraId="7E14888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（三）强化宣传引导</w:t>
      </w:r>
    </w:p>
    <w:p w14:paraId="08B16E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坚持正确的舆论导向，大力宣传长期护理保险制度的重大意义，妥善回应公众关切，合理引导社会预期；及时准确解读政策，积极宣传推广经验亮点，努力营造实施长期护理保险制度的良好氛围，确保各项工作平稳推进。</w:t>
      </w:r>
    </w:p>
    <w:p w14:paraId="307C243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六、其他事项</w:t>
      </w:r>
    </w:p>
    <w:p w14:paraId="334CE2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本实施办法自2026年1月1日起施行，实施期间国家、省有新规定的，从其规定。</w:t>
      </w:r>
    </w:p>
    <w:p w14:paraId="1A433F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14:paraId="099554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14:paraId="54FF47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14:paraId="5831F9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14:paraId="51A33D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14:paraId="7AFE1B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14:paraId="10BCC86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DF60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80CDBC">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80CDBC">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6071A"/>
    <w:rsid w:val="01A60FFD"/>
    <w:rsid w:val="06225DFD"/>
    <w:rsid w:val="0BBA3662"/>
    <w:rsid w:val="0EC460D7"/>
    <w:rsid w:val="10380AB0"/>
    <w:rsid w:val="113129B3"/>
    <w:rsid w:val="168B7DF8"/>
    <w:rsid w:val="23120E2D"/>
    <w:rsid w:val="285E709D"/>
    <w:rsid w:val="2BA9206A"/>
    <w:rsid w:val="30D128F8"/>
    <w:rsid w:val="33DE2BC8"/>
    <w:rsid w:val="343173B7"/>
    <w:rsid w:val="3D3B79E4"/>
    <w:rsid w:val="44335901"/>
    <w:rsid w:val="491E0A1E"/>
    <w:rsid w:val="57CA1CE8"/>
    <w:rsid w:val="68F572F5"/>
    <w:rsid w:val="6A1228B2"/>
    <w:rsid w:val="6CFA349D"/>
    <w:rsid w:val="6EC606BA"/>
    <w:rsid w:val="70256D8B"/>
    <w:rsid w:val="7372409D"/>
    <w:rsid w:val="73DE571A"/>
    <w:rsid w:val="7A4177A2"/>
    <w:rsid w:val="7B927F52"/>
    <w:rsid w:val="7D8D10A9"/>
    <w:rsid w:val="7E173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annotation text"/>
    <w:basedOn w:val="1"/>
    <w:qFormat/>
    <w:uiPriority w:val="0"/>
    <w:pPr>
      <w:jc w:val="left"/>
    </w:pPr>
  </w:style>
  <w:style w:type="paragraph" w:styleId="4">
    <w:name w:val="Body Text"/>
    <w:basedOn w:val="1"/>
    <w:next w:val="1"/>
    <w:semiHidden/>
    <w:qFormat/>
    <w:uiPriority w:val="0"/>
    <w:rPr>
      <w:rFonts w:ascii="FangSong_GB2312" w:hAnsi="FangSong_GB2312" w:eastAsia="FangSong_GB2312" w:cs="FangSong_GB2312"/>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3762</Words>
  <Characters>3801</Characters>
  <Lines>0</Lines>
  <Paragraphs>0</Paragraphs>
  <TotalTime>37</TotalTime>
  <ScaleCrop>false</ScaleCrop>
  <LinksUpToDate>false</LinksUpToDate>
  <CharactersWithSpaces>3802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2025-03-31T02:37:00Z</dcterms:created>
  <dc:creator>Administrator</dc:creator>
  <cp:lastModifiedBy>WPS_1717470290</cp:lastModifiedBy>
  <cp:lastPrinted>2025-05-30T08:40:00Z</cp:lastPrinted>
  <dcterms:modified xsi:type="dcterms:W3CDTF">2025-06-03T08:26:59Z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D4E40B4AB55D4EDDA11374FF5E45A4E1_12</vt:lpwstr>
  </property>
  <property fmtid="{D5CDD505-2E9C-101B-9397-08002B2CF9AE}" pid="4" name="KSOTemplateDocerSaveRecord">
    <vt:lpwstr>eyJoZGlkIjoiYjM4ZDNjYjUxNGI1Mjg0ZDc4M2Q1ZjhhZGYxYjU4M2YiLCJ1c2VySWQiOiIxNjA0Nzk3OTE1In0=</vt:lpwstr>
  </property>
</Properties>
</file>