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宋体" w:eastAsia="方正小标宋简体" w:cs="仿宋_GB2312"/>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小标宋简体" w:hAnsi="宋体" w:eastAsia="方正小标宋简体" w:cs="仿宋_GB2312"/>
          <w:bCs/>
          <w:color w:val="000000"/>
          <w:sz w:val="44"/>
          <w:szCs w:val="44"/>
          <w:lang w:val="en-US" w:eastAsia="zh-CN"/>
        </w:rPr>
      </w:pPr>
      <w:r>
        <w:rPr>
          <w:rFonts w:hint="eastAsia" w:ascii="方正小标宋简体" w:hAnsi="宋体" w:eastAsia="方正小标宋简体" w:cs="仿宋_GB2312"/>
          <w:bCs/>
          <w:color w:val="000000"/>
          <w:sz w:val="44"/>
          <w:szCs w:val="44"/>
          <w:lang w:val="en-US" w:eastAsia="zh-CN"/>
        </w:rPr>
        <w:t>2022年医疗保险业务经办能力提升项目绩效评价报告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lang w:eastAsia="zh-CN"/>
        </w:rPr>
        <w:t>（一）</w:t>
      </w:r>
      <w:r>
        <w:rPr>
          <w:rFonts w:hint="eastAsia" w:ascii="楷体_GB2312" w:hAnsi="楷体_GB2312" w:eastAsia="楷体_GB2312" w:cs="楷体_GB2312"/>
          <w:b/>
          <w:bCs w:val="0"/>
          <w:color w:val="000000"/>
          <w:sz w:val="32"/>
          <w:szCs w:val="32"/>
        </w:rPr>
        <w:t>项目概况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1、项目背景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按照党中央和省委、市委决策部署，医疗保障领域的各项改革逐渐步入深水区，改革攻坚任务艰巨繁重，工作推进落实与经费保障不足之间的矛盾也不断凸显，为此</w:t>
      </w:r>
      <w:r>
        <w:rPr>
          <w:rFonts w:hint="eastAsia" w:eastAsia="仿宋_GB2312" w:cs="Times New Roman"/>
          <w:bCs/>
          <w:sz w:val="32"/>
          <w:szCs w:val="32"/>
          <w:lang w:val="en-US" w:eastAsia="zh-CN"/>
        </w:rPr>
        <w:t>医保中心</w:t>
      </w:r>
      <w:r>
        <w:rPr>
          <w:rFonts w:hint="default" w:ascii="Times New Roman" w:hAnsi="Times New Roman" w:eastAsia="仿宋_GB2312" w:cs="Times New Roman"/>
          <w:bCs/>
          <w:sz w:val="32"/>
          <w:szCs w:val="32"/>
          <w:lang w:val="en-US" w:eastAsia="zh-CN"/>
        </w:rPr>
        <w:t>亟需追加工作经费予以保障。</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2、项目主要内容及实施情况</w:t>
      </w:r>
    </w:p>
    <w:p>
      <w:pPr>
        <w:spacing w:line="600" w:lineRule="exact"/>
        <w:ind w:firstLine="640" w:firstLineChars="200"/>
        <w:outlineLvl w:val="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rPr>
        <w:t>本项目主要是根据《关于同意2015年南昌市医疗保险事业管理处编外人员工资和社会保险待遇核定办法的批复》文件发放劳动保障代理人员相关经费，缴纳残疾人就业保障金，做好医保档案寄存、两定机构准入工作，采购网络信息安全防护设备，维护医保信息短信平台及医保信息平台经办网点线路费用，建设17家医疗保障一体化服务中心等医保业务保障工作，为人们医疗保险业务提供有效保障。全年共完成386个网点医保信息网络平台运维工作，开展了3次两定机构准入评估，建设了60家医疗保障一体化服务中心，完成了网络信息安全防护设备采购2批次，聘请劳务保障代理41人，残疾人就业保障1人，各项工作开展已圆满完成，充分发挥了我单位的主要职能</w:t>
      </w:r>
      <w:r>
        <w:rPr>
          <w:rFonts w:hint="eastAsia" w:eastAsia="仿宋_GB2312" w:cs="Times New Roman"/>
          <w:bCs/>
          <w:sz w:val="32"/>
          <w:szCs w:val="32"/>
          <w:lang w:eastAsia="zh-CN"/>
        </w:rPr>
        <w:t>。</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3、资金投入和使用情况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rPr>
      </w:pPr>
      <w:r>
        <w:rPr>
          <w:rFonts w:hint="eastAsia" w:eastAsia="仿宋_GB2312" w:cs="Times New Roman"/>
          <w:bCs/>
          <w:sz w:val="32"/>
          <w:szCs w:val="32"/>
          <w:lang w:eastAsia="zh-CN"/>
        </w:rPr>
        <w:t>医疗保险业务经办能力提升</w:t>
      </w:r>
      <w:r>
        <w:rPr>
          <w:rFonts w:hint="eastAsia" w:ascii="Times New Roman" w:hAnsi="Times New Roman" w:eastAsia="仿宋_GB2312" w:cs="Times New Roman"/>
          <w:bCs/>
          <w:sz w:val="32"/>
          <w:szCs w:val="32"/>
        </w:rPr>
        <w:t>项目资金主要来自市级财政拨款。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20</w:t>
      </w:r>
      <w:r>
        <w:rPr>
          <w:rFonts w:hint="eastAsia" w:ascii="Times New Roman" w:hAnsi="Times New Roman" w:eastAsia="仿宋_GB2312" w:cs="Times New Roman"/>
          <w:bCs/>
          <w:sz w:val="32"/>
          <w:szCs w:val="32"/>
          <w:lang w:val="en-US" w:eastAsia="zh-CN"/>
        </w:rPr>
        <w:t>22</w:t>
      </w:r>
      <w:r>
        <w:rPr>
          <w:rFonts w:hint="eastAsia" w:ascii="Times New Roman" w:hAnsi="Times New Roman" w:eastAsia="仿宋_GB2312" w:cs="Times New Roman"/>
          <w:bCs/>
          <w:sz w:val="32"/>
          <w:szCs w:val="32"/>
        </w:rPr>
        <w:t>年</w:t>
      </w:r>
      <w:r>
        <w:rPr>
          <w:rFonts w:hint="eastAsia" w:eastAsia="仿宋_GB2312" w:cs="Times New Roman"/>
          <w:bCs/>
          <w:sz w:val="32"/>
          <w:szCs w:val="32"/>
          <w:lang w:eastAsia="zh-CN"/>
        </w:rPr>
        <w:t>医疗保险业务经办能力提升</w:t>
      </w:r>
      <w:r>
        <w:rPr>
          <w:rFonts w:hint="eastAsia" w:ascii="Times New Roman" w:hAnsi="Times New Roman" w:eastAsia="仿宋_GB2312" w:cs="Times New Roman"/>
          <w:bCs/>
          <w:sz w:val="32"/>
          <w:szCs w:val="32"/>
          <w:lang w:val="en-US" w:eastAsia="zh-CN"/>
        </w:rPr>
        <w:t>项目</w:t>
      </w:r>
      <w:r>
        <w:rPr>
          <w:rFonts w:hint="eastAsia" w:ascii="Times New Roman" w:hAnsi="Times New Roman" w:eastAsia="仿宋_GB2312" w:cs="Times New Roman"/>
          <w:bCs/>
          <w:sz w:val="32"/>
          <w:szCs w:val="32"/>
        </w:rPr>
        <w:t>预算</w:t>
      </w:r>
      <w:r>
        <w:rPr>
          <w:rFonts w:hint="eastAsia" w:eastAsia="仿宋_GB2312" w:cs="Times New Roman"/>
          <w:bCs/>
          <w:sz w:val="32"/>
          <w:szCs w:val="32"/>
          <w:lang w:val="en-US" w:eastAsia="zh-CN"/>
        </w:rPr>
        <w:t>666</w:t>
      </w:r>
      <w:r>
        <w:rPr>
          <w:rFonts w:hint="eastAsia" w:ascii="Times New Roman" w:hAnsi="Times New Roman" w:eastAsia="仿宋_GB2312" w:cs="Times New Roman"/>
          <w:bCs/>
          <w:sz w:val="32"/>
          <w:szCs w:val="32"/>
        </w:rPr>
        <w:t>万元，市财政实际下拨</w:t>
      </w:r>
      <w:r>
        <w:rPr>
          <w:rFonts w:hint="eastAsia" w:eastAsia="仿宋_GB2312" w:cs="Times New Roman"/>
          <w:bCs/>
          <w:sz w:val="32"/>
          <w:szCs w:val="32"/>
          <w:lang w:val="en-US" w:eastAsia="zh-CN"/>
        </w:rPr>
        <w:t>666</w:t>
      </w:r>
      <w:r>
        <w:rPr>
          <w:rFonts w:hint="eastAsia" w:ascii="Times New Roman" w:hAnsi="Times New Roman" w:eastAsia="仿宋_GB2312" w:cs="Times New Roman"/>
          <w:bCs/>
          <w:sz w:val="32"/>
          <w:szCs w:val="32"/>
        </w:rPr>
        <w:t>万元，实际支出资金</w:t>
      </w:r>
      <w:r>
        <w:rPr>
          <w:rFonts w:hint="eastAsia" w:hAnsi="仿宋_GB2312" w:cs="仿宋_GB2312"/>
          <w:kern w:val="2"/>
          <w:sz w:val="32"/>
          <w:szCs w:val="32"/>
          <w:lang w:val="en-US" w:eastAsia="zh-CN" w:bidi="ar-SA"/>
        </w:rPr>
        <w:t>622.09</w:t>
      </w:r>
      <w:r>
        <w:rPr>
          <w:rFonts w:hint="eastAsia" w:ascii="Times New Roman" w:hAnsi="Times New Roman" w:eastAsia="仿宋_GB2312" w:cs="Times New Roman"/>
          <w:bCs/>
          <w:sz w:val="32"/>
          <w:szCs w:val="32"/>
        </w:rPr>
        <w:t>万元，使用率</w:t>
      </w:r>
      <w:r>
        <w:rPr>
          <w:rFonts w:hint="eastAsia" w:eastAsia="仿宋_GB2312" w:cs="Times New Roman"/>
          <w:bCs/>
          <w:sz w:val="32"/>
          <w:szCs w:val="32"/>
          <w:lang w:val="en-US" w:eastAsia="zh-CN"/>
        </w:rPr>
        <w:t>93.41</w:t>
      </w:r>
      <w:r>
        <w:rPr>
          <w:rFonts w:hint="eastAsia" w:ascii="Times New Roman" w:hAnsi="Times New Roman" w:eastAsia="仿宋_GB2312" w:cs="Times New Roman"/>
          <w:bCs/>
          <w:sz w:val="32"/>
          <w:szCs w:val="32"/>
        </w:rPr>
        <w:t>%。</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（二）项目绩效目标</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1、项目总体目标</w:t>
      </w:r>
    </w:p>
    <w:p>
      <w:pPr>
        <w:spacing w:line="600" w:lineRule="exact"/>
        <w:ind w:firstLine="640" w:firstLineChars="200"/>
        <w:outlineLvl w:val="0"/>
        <w:rPr>
          <w:rFonts w:hint="default" w:ascii="Times New Roman" w:hAnsi="Times New Roman" w:eastAsia="仿宋_GB2312" w:cs="Times New Roman"/>
          <w:bCs/>
          <w:sz w:val="32"/>
          <w:szCs w:val="32"/>
          <w:lang w:val="en-US" w:eastAsia="zh-CN"/>
        </w:rPr>
      </w:pPr>
      <w:r>
        <w:rPr>
          <w:rFonts w:hint="eastAsia" w:ascii="仿宋_GB2312" w:hAnsi="仿宋_GB2312" w:eastAsia="仿宋_GB2312" w:cs="仿宋_GB2312"/>
          <w:b w:val="0"/>
          <w:bCs w:val="0"/>
          <w:kern w:val="2"/>
          <w:sz w:val="32"/>
          <w:szCs w:val="32"/>
          <w:lang w:val="en-US" w:eastAsia="zh-CN" w:bidi="ar-SA"/>
        </w:rPr>
        <w:t>医疗保险业务经办能力提升的绩效总体目标是做好医保档案寄存、两定机构准入工作，采购网络信息安全防护设备，维护医保信息短信平台及医保信息平台经办网点线路费用，建设17家医疗保障一体化服务中心等医保业务保障工作，为人们医疗保险业务提供有效保障。</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2、项目阶段性目标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val="en-US" w:eastAsia="zh-CN"/>
        </w:rPr>
        <w:t>通过对2022年</w:t>
      </w:r>
      <w:r>
        <w:rPr>
          <w:rFonts w:hint="eastAsia" w:eastAsia="仿宋_GB2312" w:cs="Times New Roman"/>
          <w:bCs/>
          <w:sz w:val="32"/>
          <w:szCs w:val="32"/>
          <w:lang w:val="en-US" w:eastAsia="zh-CN"/>
        </w:rPr>
        <w:t>医疗保险业务经办能力提升</w:t>
      </w:r>
      <w:r>
        <w:rPr>
          <w:rFonts w:hint="eastAsia" w:ascii="Times New Roman" w:hAnsi="Times New Roman" w:eastAsia="仿宋_GB2312" w:cs="Times New Roman"/>
          <w:bCs/>
          <w:sz w:val="32"/>
          <w:szCs w:val="32"/>
          <w:lang w:val="en-US" w:eastAsia="zh-CN"/>
        </w:rPr>
        <w:t>项目的开展，</w:t>
      </w:r>
      <w:r>
        <w:rPr>
          <w:rFonts w:hint="eastAsia" w:ascii="仿宋_GB2312" w:hAnsi="仿宋_GB2312" w:eastAsia="仿宋_GB2312" w:cs="仿宋_GB2312"/>
          <w:b w:val="0"/>
          <w:bCs w:val="0"/>
          <w:kern w:val="2"/>
          <w:sz w:val="32"/>
          <w:szCs w:val="32"/>
          <w:lang w:val="en-US" w:eastAsia="zh-CN" w:bidi="ar-SA"/>
        </w:rPr>
        <w:t>计划完成385个网点医保信息网络平台运维工作，开展3次两定机构准入评估，建设17家医疗保障一体化服务中心，完成网络信息安全防护设备采购2批次，聘请劳务保障代理41人，残疾人就业保障1人等各项工作，充分发挥了我单位的主要职能。</w:t>
      </w:r>
    </w:p>
    <w:p>
      <w:pPr>
        <w:spacing w:line="600" w:lineRule="exact"/>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二、绩效评价工作开展情况</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（一）绩效评价目的、对象和范围</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1、绩效评价目的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通过绩效评价，科学、客观、公正的对2022年度项目资金进行整体综合性评价，反映其社会效益，更好地发挥其政策扶持、引导作用。</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2、绩效评价对象和范围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本项目绩效评价对象为</w:t>
      </w:r>
      <w:r>
        <w:rPr>
          <w:rFonts w:hint="eastAsia" w:eastAsia="仿宋_GB2312" w:cs="Times New Roman"/>
          <w:bCs/>
          <w:sz w:val="32"/>
          <w:szCs w:val="32"/>
          <w:lang w:val="en-US" w:eastAsia="zh-CN"/>
        </w:rPr>
        <w:t>医疗保险业务经办能力提升</w:t>
      </w:r>
      <w:r>
        <w:rPr>
          <w:rFonts w:hint="eastAsia" w:ascii="Times New Roman" w:hAnsi="Times New Roman" w:eastAsia="仿宋_GB2312" w:cs="Times New Roman"/>
          <w:bCs/>
          <w:sz w:val="32"/>
          <w:szCs w:val="32"/>
          <w:lang w:val="en-US" w:eastAsia="zh-CN"/>
        </w:rPr>
        <w:t>项目</w:t>
      </w:r>
      <w:r>
        <w:rPr>
          <w:rFonts w:hint="eastAsia" w:eastAsia="仿宋_GB2312" w:cs="Times New Roman"/>
          <w:bCs/>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本次绩效评价范围是：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（1）绩效目标与战略发展规划的适应性；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（2）财政资金使用情况、财务管理状况和资产配置、使用、处置及其收益管理情况；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（3）为加强管理所制定的相关制度、采取的措施等；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（4）绩效目标的实现程度，包括是否达到预定产出和效果等；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（5）需要评价的其他内容。</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（二）绩效评价原则、评价指标体系、评价方法、评价标准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1、绩效评价原则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（1）客观、科学、公正的原则；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（2）综合绩效评价的原则；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（3）定量分析与定性分析的原则；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（4）统筹规划、稳步推进的原则；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（5）财政支出绩效评价与财政支出管理相结合的原则；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（6）财政支出绩效评价贯彻事前、事中、事后的原则。</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2、评价指标体系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本项目绩效评价建立了三级评价指标体系，见下表：</w:t>
      </w:r>
    </w:p>
    <w:tbl>
      <w:tblPr>
        <w:tblStyle w:val="6"/>
        <w:tblW w:w="48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1114"/>
        <w:gridCol w:w="2435"/>
        <w:gridCol w:w="802"/>
        <w:gridCol w:w="4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537"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一级</w:t>
            </w:r>
          </w:p>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指标</w:t>
            </w:r>
          </w:p>
        </w:tc>
        <w:tc>
          <w:tcPr>
            <w:tcW w:w="579"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二级指标</w:t>
            </w:r>
          </w:p>
        </w:tc>
        <w:tc>
          <w:tcPr>
            <w:tcW w:w="1266"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三级指标</w:t>
            </w:r>
          </w:p>
        </w:tc>
        <w:tc>
          <w:tcPr>
            <w:tcW w:w="417"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分值权重</w:t>
            </w:r>
          </w:p>
        </w:tc>
        <w:tc>
          <w:tcPr>
            <w:tcW w:w="2198"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537"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决策</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（1</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　</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tc>
        <w:tc>
          <w:tcPr>
            <w:tcW w:w="57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项目立项</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p>
        </w:tc>
        <w:tc>
          <w:tcPr>
            <w:tcW w:w="1266"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立项依据</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充分性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7"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.5</w:t>
            </w:r>
          </w:p>
        </w:tc>
        <w:tc>
          <w:tcPr>
            <w:tcW w:w="2198"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①项目立项符合国家法律法规和相关政策，得1分，不符合不得分；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②项目立项与部门职责范围相符，属于部门履职所需，得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.5分，不符合不得分。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266"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立项程</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规范性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c>
          <w:tcPr>
            <w:tcW w:w="2198"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①项目按照规定的程序申请设立，得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②审批文件、材料符合相关要求，得</w:t>
            </w:r>
            <w:r>
              <w:rPr>
                <w:rFonts w:hint="eastAsia" w:ascii="黑体" w:hAnsi="黑体" w:eastAsia="黑体" w:cs="黑体"/>
                <w:bCs/>
                <w:color w:val="000000"/>
                <w:kern w:val="0"/>
                <w:sz w:val="21"/>
                <w:szCs w:val="21"/>
                <w:lang w:val="en-US" w:eastAsia="zh-CN"/>
              </w:rPr>
              <w:t>1.5</w:t>
            </w:r>
            <w:r>
              <w:rPr>
                <w:rFonts w:hint="eastAsia" w:ascii="黑体" w:hAnsi="黑体" w:eastAsia="黑体" w:cs="黑体"/>
                <w:bCs/>
                <w:color w:val="000000"/>
                <w:kern w:val="0"/>
                <w:sz w:val="21"/>
                <w:szCs w:val="21"/>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绩效目标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r>
              <w:rPr>
                <w:rFonts w:hint="eastAsia" w:ascii="黑体" w:hAnsi="黑体" w:eastAsia="黑体" w:cs="黑体"/>
                <w:bCs/>
                <w:color w:val="000000"/>
                <w:kern w:val="0"/>
                <w:sz w:val="21"/>
                <w:szCs w:val="21"/>
              </w:rPr>
              <w:t>　</w:t>
            </w:r>
          </w:p>
        </w:tc>
        <w:tc>
          <w:tcPr>
            <w:tcW w:w="1266"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绩效目标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7"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2.5</w:t>
            </w:r>
          </w:p>
        </w:tc>
        <w:tc>
          <w:tcPr>
            <w:tcW w:w="2198"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①项目有绩效目标，得1.5分，不符合不得分；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②项目绩效目标与实际工作内容具有相关性，得1分，不符合不得分。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266"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绩效指标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明确性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2.5</w:t>
            </w:r>
          </w:p>
          <w:p>
            <w:pPr>
              <w:pStyle w:val="9"/>
              <w:rPr>
                <w:rFonts w:hint="eastAsia"/>
                <w:lang w:eastAsia="zh-CN"/>
              </w:rPr>
            </w:pPr>
          </w:p>
        </w:tc>
        <w:tc>
          <w:tcPr>
            <w:tcW w:w="2198"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①将项目绩效目标细化分解为具体的绩效指标，得1.5分，不符合不得分；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②与项目目标任务数或计划数相对应，得1分，不符合不得分。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资金投入</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p>
        </w:tc>
        <w:tc>
          <w:tcPr>
            <w:tcW w:w="1266"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预算编制</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科学性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7" w:type="pct"/>
            <w:noWrap w:val="0"/>
            <w:vAlign w:val="center"/>
          </w:tcPr>
          <w:p>
            <w:pPr>
              <w:widowControl/>
              <w:jc w:val="center"/>
              <w:rPr>
                <w:rFonts w:hint="eastAsia" w:ascii="黑体" w:hAnsi="黑体" w:eastAsia="黑体" w:cs="黑体"/>
                <w:bCs/>
                <w:color w:val="000000"/>
                <w:kern w:val="0"/>
                <w:sz w:val="21"/>
                <w:szCs w:val="21"/>
                <w:lang w:val="en-US"/>
              </w:rPr>
            </w:pPr>
            <w:r>
              <w:rPr>
                <w:rFonts w:hint="eastAsia" w:ascii="黑体" w:hAnsi="黑体" w:eastAsia="黑体" w:cs="黑体"/>
                <w:bCs/>
                <w:color w:val="000000"/>
                <w:kern w:val="0"/>
                <w:sz w:val="21"/>
                <w:szCs w:val="21"/>
                <w:lang w:val="en-US" w:eastAsia="zh-CN"/>
              </w:rPr>
              <w:t>2.5</w:t>
            </w:r>
          </w:p>
        </w:tc>
        <w:tc>
          <w:tcPr>
            <w:tcW w:w="219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①预算内容与项目内容匹配，得1分，不符合不得分；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②预算确定的项目投资额或资金量与工作任务相匹配，得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.5分，不符合不得分。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266"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资金分配</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c>
          <w:tcPr>
            <w:tcW w:w="2198"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①预算资金分配依据充分，得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②资金分配额度合理，得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.5分，不符合不得分。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537"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过程</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15</w:t>
            </w:r>
            <w:r>
              <w:rPr>
                <w:rFonts w:hint="eastAsia" w:ascii="黑体" w:hAnsi="黑体" w:eastAsia="黑体" w:cs="黑体"/>
                <w:bCs/>
                <w:color w:val="000000"/>
                <w:kern w:val="0"/>
                <w:sz w:val="21"/>
                <w:szCs w:val="21"/>
              </w:rPr>
              <w:t>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tc>
        <w:tc>
          <w:tcPr>
            <w:tcW w:w="57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资金管理</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266"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资金到位率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3分）</w:t>
            </w:r>
          </w:p>
        </w:tc>
        <w:tc>
          <w:tcPr>
            <w:tcW w:w="41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3</w:t>
            </w:r>
          </w:p>
        </w:tc>
        <w:tc>
          <w:tcPr>
            <w:tcW w:w="219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资金到位率=（实际到位资金/预算资金）×100%。90%-100%得</w:t>
            </w:r>
            <w:r>
              <w:rPr>
                <w:rFonts w:hint="eastAsia" w:ascii="黑体" w:hAnsi="黑体" w:eastAsia="黑体" w:cs="黑体"/>
                <w:bCs/>
                <w:color w:val="000000"/>
                <w:kern w:val="0"/>
                <w:sz w:val="21"/>
                <w:szCs w:val="21"/>
                <w:lang w:val="en-US" w:eastAsia="zh-CN"/>
              </w:rPr>
              <w:t>3</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rPr>
              <w:t>80%-89%得</w:t>
            </w: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分；60%-79%得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分；60%以下，不得分。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266"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预算执行率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4分）</w:t>
            </w:r>
          </w:p>
        </w:tc>
        <w:tc>
          <w:tcPr>
            <w:tcW w:w="41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4</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rPr>
              <w:t>预算执行率=（实际支出资金/实际到位资金）×100%</w:t>
            </w: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得分=预算执行率</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266"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资金使用</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合规性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3分）</w:t>
            </w:r>
          </w:p>
        </w:tc>
        <w:tc>
          <w:tcPr>
            <w:tcW w:w="41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3</w:t>
            </w:r>
          </w:p>
        </w:tc>
        <w:tc>
          <w:tcPr>
            <w:tcW w:w="2198"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①符合国家财经法规和财务管理制度以及有关专项资金管理办法的规定，得1</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②资金的拨付有完整的审批程序和手续，得1</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组织实施</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r>
              <w:rPr>
                <w:rFonts w:hint="eastAsia" w:ascii="黑体" w:hAnsi="黑体" w:eastAsia="黑体" w:cs="黑体"/>
                <w:bCs/>
                <w:color w:val="000000"/>
                <w:kern w:val="0"/>
                <w:sz w:val="21"/>
                <w:szCs w:val="21"/>
              </w:rPr>
              <w:t>　</w:t>
            </w:r>
          </w:p>
        </w:tc>
        <w:tc>
          <w:tcPr>
            <w:tcW w:w="1266"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管理制度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健全性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2.5</w:t>
            </w:r>
          </w:p>
        </w:tc>
        <w:tc>
          <w:tcPr>
            <w:tcW w:w="2198"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①已制定或具有相应的财务和业务管理制度，得</w:t>
            </w:r>
            <w:r>
              <w:rPr>
                <w:rFonts w:hint="eastAsia" w:ascii="黑体" w:hAnsi="黑体" w:eastAsia="黑体" w:cs="黑体"/>
                <w:bCs/>
                <w:color w:val="000000"/>
                <w:kern w:val="0"/>
                <w:sz w:val="21"/>
                <w:szCs w:val="21"/>
                <w:lang w:val="en-US" w:eastAsia="zh-CN"/>
              </w:rPr>
              <w:t>1.5</w:t>
            </w:r>
            <w:r>
              <w:rPr>
                <w:rFonts w:hint="eastAsia" w:ascii="黑体" w:hAnsi="黑体" w:eastAsia="黑体" w:cs="黑体"/>
                <w:bCs/>
                <w:color w:val="000000"/>
                <w:kern w:val="0"/>
                <w:sz w:val="21"/>
                <w:szCs w:val="21"/>
              </w:rPr>
              <w:t>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②财务和业务管理制度合法、合规、完整，得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分，不符合不得分。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266"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制度执行</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有效性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7"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2.5</w:t>
            </w:r>
          </w:p>
        </w:tc>
        <w:tc>
          <w:tcPr>
            <w:tcW w:w="219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遵守相关法律法规和相关管理规定，得</w:t>
            </w:r>
            <w:r>
              <w:rPr>
                <w:rFonts w:hint="eastAsia" w:ascii="黑体" w:hAnsi="黑体" w:eastAsia="黑体" w:cs="黑体"/>
                <w:bCs/>
                <w:color w:val="000000"/>
                <w:kern w:val="0"/>
                <w:sz w:val="21"/>
                <w:szCs w:val="21"/>
                <w:lang w:val="en-US" w:eastAsia="zh-CN"/>
              </w:rPr>
              <w:t>2.5</w:t>
            </w:r>
            <w:r>
              <w:rPr>
                <w:rFonts w:hint="eastAsia" w:ascii="黑体" w:hAnsi="黑体" w:eastAsia="黑体" w:cs="黑体"/>
                <w:bCs/>
                <w:color w:val="000000"/>
                <w:kern w:val="0"/>
                <w:sz w:val="21"/>
                <w:szCs w:val="21"/>
              </w:rPr>
              <w:t>分，不完善得1分，未建立得0分。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537"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w:t>
            </w:r>
            <w:r>
              <w:rPr>
                <w:rFonts w:hint="eastAsia" w:ascii="黑体" w:hAnsi="黑体" w:eastAsia="黑体" w:cs="黑体"/>
                <w:bCs/>
                <w:color w:val="000000"/>
                <w:kern w:val="0"/>
                <w:sz w:val="21"/>
                <w:szCs w:val="21"/>
                <w:lang w:val="en-US" w:eastAsia="zh-CN"/>
              </w:rPr>
              <w:t>35</w:t>
            </w:r>
            <w:r>
              <w:rPr>
                <w:rFonts w:hint="eastAsia" w:ascii="黑体" w:hAnsi="黑体" w:eastAsia="黑体" w:cs="黑体"/>
                <w:bCs/>
                <w:color w:val="000000"/>
                <w:kern w:val="0"/>
                <w:sz w:val="21"/>
                <w:szCs w:val="21"/>
              </w:rPr>
              <w:t>分）</w:t>
            </w:r>
          </w:p>
        </w:tc>
        <w:tc>
          <w:tcPr>
            <w:tcW w:w="57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产出数量</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26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两定机构准入评估3次</w:t>
            </w:r>
          </w:p>
        </w:tc>
        <w:tc>
          <w:tcPr>
            <w:tcW w:w="41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219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两定机构准入评估次数达到3次</w:t>
            </w:r>
            <w:r>
              <w:rPr>
                <w:rFonts w:hint="eastAsia" w:ascii="黑体" w:hAnsi="黑体" w:eastAsia="黑体" w:cs="黑体"/>
                <w:bCs/>
                <w:color w:val="000000"/>
                <w:kern w:val="0"/>
                <w:sz w:val="21"/>
                <w:szCs w:val="21"/>
              </w:rPr>
              <w:t>得</w:t>
            </w: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val="en-US" w:eastAsia="zh-CN"/>
              </w:rPr>
              <w:t>每少1次扣1分</w:t>
            </w:r>
            <w:r>
              <w:rPr>
                <w:rFonts w:hint="eastAsia" w:ascii="黑体" w:hAnsi="黑体" w:eastAsia="黑体" w:cs="黑体"/>
                <w:bCs/>
                <w:color w:val="000000"/>
                <w:kern w:val="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劳务保障代理41人</w:t>
            </w:r>
          </w:p>
        </w:tc>
        <w:tc>
          <w:tcPr>
            <w:tcW w:w="41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劳务保障代理人数达到41人</w:t>
            </w:r>
            <w:r>
              <w:rPr>
                <w:rFonts w:hint="eastAsia" w:ascii="黑体" w:hAnsi="黑体" w:eastAsia="黑体" w:cs="黑体"/>
                <w:bCs/>
                <w:color w:val="000000"/>
                <w:kern w:val="0"/>
                <w:sz w:val="21"/>
                <w:szCs w:val="21"/>
              </w:rPr>
              <w:t>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val="en-US" w:eastAsia="zh-CN"/>
              </w:rPr>
              <w:t>每少1扣0.1分</w:t>
            </w:r>
            <w:r>
              <w:rPr>
                <w:rFonts w:hint="eastAsia" w:ascii="黑体" w:hAnsi="黑体" w:eastAsia="黑体" w:cs="黑体"/>
                <w:bCs/>
                <w:color w:val="000000"/>
                <w:kern w:val="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医保信息网络平台运维网点385个</w:t>
            </w:r>
          </w:p>
        </w:tc>
        <w:tc>
          <w:tcPr>
            <w:tcW w:w="41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医保信息网络平台运维网点数达到385个</w:t>
            </w:r>
            <w:r>
              <w:rPr>
                <w:rFonts w:hint="eastAsia" w:ascii="黑体" w:hAnsi="黑体" w:eastAsia="黑体" w:cs="黑体"/>
                <w:bCs/>
                <w:color w:val="000000"/>
                <w:kern w:val="0"/>
                <w:sz w:val="21"/>
                <w:szCs w:val="21"/>
              </w:rPr>
              <w:t>得</w:t>
            </w: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val="en-US" w:eastAsia="zh-CN"/>
              </w:rPr>
              <w:t>每少10个扣0.1分</w:t>
            </w:r>
            <w:r>
              <w:rPr>
                <w:rFonts w:hint="eastAsia" w:ascii="黑体" w:hAnsi="黑体" w:eastAsia="黑体" w:cs="黑体"/>
                <w:bCs/>
                <w:color w:val="000000"/>
                <w:kern w:val="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建设医疗保障一体化服务中心17家</w:t>
            </w:r>
          </w:p>
        </w:tc>
        <w:tc>
          <w:tcPr>
            <w:tcW w:w="41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建设医疗保障一体化服务中心数达到17家以上</w:t>
            </w:r>
            <w:r>
              <w:rPr>
                <w:rFonts w:hint="eastAsia" w:ascii="黑体" w:hAnsi="黑体" w:eastAsia="黑体" w:cs="黑体"/>
                <w:bCs/>
                <w:color w:val="000000"/>
                <w:kern w:val="0"/>
                <w:sz w:val="21"/>
                <w:szCs w:val="21"/>
              </w:rPr>
              <w:t>得</w:t>
            </w: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val="en-US" w:eastAsia="zh-CN"/>
              </w:rPr>
              <w:t>每少1家扣0.1分</w:t>
            </w:r>
            <w:r>
              <w:rPr>
                <w:rFonts w:hint="eastAsia" w:ascii="黑体" w:hAnsi="黑体" w:eastAsia="黑体" w:cs="黑体"/>
                <w:bCs/>
                <w:color w:val="000000"/>
                <w:kern w:val="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残疾人就业保障1人</w:t>
            </w:r>
          </w:p>
        </w:tc>
        <w:tc>
          <w:tcPr>
            <w:tcW w:w="41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残疾人就业保障人数达到1人</w:t>
            </w:r>
            <w:r>
              <w:rPr>
                <w:rFonts w:hint="eastAsia" w:ascii="黑体" w:hAnsi="黑体" w:eastAsia="黑体" w:cs="黑体"/>
                <w:bCs/>
                <w:color w:val="000000"/>
                <w:kern w:val="0"/>
                <w:sz w:val="21"/>
                <w:szCs w:val="21"/>
              </w:rPr>
              <w:t>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val="en-US" w:eastAsia="zh-CN"/>
              </w:rPr>
              <w:t>少于1人，不得分</w:t>
            </w:r>
            <w:r>
              <w:rPr>
                <w:rFonts w:hint="eastAsia" w:ascii="黑体" w:hAnsi="黑体" w:eastAsia="黑体" w:cs="黑体"/>
                <w:bCs/>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网络信息安全防护设备采购2批次</w:t>
            </w:r>
          </w:p>
        </w:tc>
        <w:tc>
          <w:tcPr>
            <w:tcW w:w="41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网络信息安全防护设备采购批次达到2批次</w:t>
            </w:r>
            <w:r>
              <w:rPr>
                <w:rFonts w:hint="eastAsia" w:ascii="黑体" w:hAnsi="黑体" w:eastAsia="黑体" w:cs="黑体"/>
                <w:bCs/>
                <w:color w:val="000000"/>
                <w:kern w:val="0"/>
                <w:sz w:val="21"/>
                <w:szCs w:val="21"/>
              </w:rPr>
              <w:t>得</w:t>
            </w: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val="en-US" w:eastAsia="zh-CN"/>
              </w:rPr>
              <w:t>每少1批次扣1分</w:t>
            </w:r>
            <w:r>
              <w:rPr>
                <w:rFonts w:hint="eastAsia" w:ascii="黑体" w:hAnsi="黑体" w:eastAsia="黑体" w:cs="黑体"/>
                <w:bCs/>
                <w:color w:val="000000"/>
                <w:kern w:val="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产出质量</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26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17家医疗保障一体化服务中心建设运营情况</w:t>
            </w:r>
          </w:p>
        </w:tc>
        <w:tc>
          <w:tcPr>
            <w:tcW w:w="41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219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医疗保障一体化服务中心建设运营情况良好，得满分，运营情况为中，得1分，运营情况为差，不得分。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两定机构准入评估工作进展率</w:t>
            </w:r>
          </w:p>
        </w:tc>
        <w:tc>
          <w:tcPr>
            <w:tcW w:w="41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219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两定机构准入评估工作进展率达到100%，得满分，每下降10%，扣0.5分，扣完为止。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劳务保障代理工作执行率</w:t>
            </w:r>
          </w:p>
        </w:tc>
        <w:tc>
          <w:tcPr>
            <w:tcW w:w="41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219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劳务保障代理工作执行率达到100%，得满分，每下降10%，扣0.5分，扣完为止。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医保信息网络平台运维正常性</w:t>
            </w:r>
          </w:p>
        </w:tc>
        <w:tc>
          <w:tcPr>
            <w:tcW w:w="41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医保信息网络平台运维正常性达到100%，得满分，每下降10%，扣0.5分，扣完为止。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残疾人就业保障金是否发放</w:t>
            </w:r>
          </w:p>
        </w:tc>
        <w:tc>
          <w:tcPr>
            <w:tcW w:w="41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219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残疾人就业保障金正常发放，得满分，否则不得分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网络信息安全防护设备验收合格率</w:t>
            </w:r>
          </w:p>
        </w:tc>
        <w:tc>
          <w:tcPr>
            <w:tcW w:w="41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219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网络信息安全防护设备验收合格率达到100%，得满分，每下降10%，扣0.5分，扣完为止。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产出时效</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26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两定机构准入评估工作完成及时率</w:t>
            </w:r>
          </w:p>
        </w:tc>
        <w:tc>
          <w:tcPr>
            <w:tcW w:w="41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219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两定机构准入评估工作在2022年12月31日前完成</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劳务保障代理工作完成及时率</w:t>
            </w:r>
          </w:p>
        </w:tc>
        <w:tc>
          <w:tcPr>
            <w:tcW w:w="41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劳务保障代理工作在2022年12月31日前完成</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医保信息网络平台运维工作完成及时率</w:t>
            </w:r>
          </w:p>
        </w:tc>
        <w:tc>
          <w:tcPr>
            <w:tcW w:w="41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医保信息网络平台运维工作在2022年12月31日前完成</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医疗保障一体化服务中心建设完成及时率</w:t>
            </w:r>
          </w:p>
        </w:tc>
        <w:tc>
          <w:tcPr>
            <w:tcW w:w="41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医疗保障一体化服务中心建设在2022年12月31日前完成</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残疾人就业保障金发放及时率</w:t>
            </w:r>
          </w:p>
        </w:tc>
        <w:tc>
          <w:tcPr>
            <w:tcW w:w="41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残疾人就业保障金发放在2022年12月31日前完成</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网络信息安全防护设备采购完成及时率</w:t>
            </w:r>
          </w:p>
        </w:tc>
        <w:tc>
          <w:tcPr>
            <w:tcW w:w="41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网络信息安全防护设备采购在2022年12月31日前完成</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restar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产出成本</w:t>
            </w:r>
          </w:p>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（5分）</w:t>
            </w:r>
          </w:p>
        </w:tc>
        <w:tc>
          <w:tcPr>
            <w:tcW w:w="126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两定机构准入评估工作成本控制率</w:t>
            </w:r>
          </w:p>
        </w:tc>
        <w:tc>
          <w:tcPr>
            <w:tcW w:w="41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两定机构准入评估工作成本控制在预算范围内</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劳务保障代理工作成本控制率</w:t>
            </w:r>
          </w:p>
        </w:tc>
        <w:tc>
          <w:tcPr>
            <w:tcW w:w="41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0.5</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劳务保障代理工作成本控制在预算范围内</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医保信息网络平台运维工作成本控制率</w:t>
            </w:r>
          </w:p>
        </w:tc>
        <w:tc>
          <w:tcPr>
            <w:tcW w:w="41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医保信息网络平台运维工作成本控制在预算范围内</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医疗保障一体化服务中心建设成本控制率</w:t>
            </w:r>
          </w:p>
        </w:tc>
        <w:tc>
          <w:tcPr>
            <w:tcW w:w="41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医疗保障一体化服务中心建设成本控制在预算范围内</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残疾人就业保障金发放成本控制率</w:t>
            </w:r>
          </w:p>
        </w:tc>
        <w:tc>
          <w:tcPr>
            <w:tcW w:w="41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0.5</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残疾人就业保障金发放成本控制在预算范围内</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vMerge w:val="continue"/>
            <w:noWrap w:val="0"/>
            <w:vAlign w:val="center"/>
          </w:tcPr>
          <w:p>
            <w:pPr>
              <w:widowControl/>
              <w:jc w:val="center"/>
              <w:rPr>
                <w:rFonts w:hint="eastAsia" w:ascii="黑体" w:hAnsi="黑体" w:eastAsia="黑体" w:cs="黑体"/>
                <w:bCs/>
                <w:color w:val="000000"/>
                <w:kern w:val="0"/>
                <w:sz w:val="21"/>
                <w:szCs w:val="21"/>
              </w:rPr>
            </w:pPr>
          </w:p>
        </w:tc>
        <w:tc>
          <w:tcPr>
            <w:tcW w:w="57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26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网络信息安全防护设备采购成本控制率</w:t>
            </w:r>
          </w:p>
        </w:tc>
        <w:tc>
          <w:tcPr>
            <w:tcW w:w="41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网络信息安全防护设备采购成本控制在预算范围内</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7"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效益（2</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　</w:t>
            </w:r>
          </w:p>
        </w:tc>
        <w:tc>
          <w:tcPr>
            <w:tcW w:w="579"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社会效益</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1266" w:type="pct"/>
            <w:noWrap w:val="0"/>
            <w:vAlign w:val="center"/>
          </w:tcPr>
          <w:p>
            <w:pPr>
              <w:widowControl/>
              <w:jc w:val="center"/>
              <w:rPr>
                <w:rFonts w:hint="default" w:ascii="黑体" w:hAnsi="黑体" w:eastAsia="黑体" w:cs="黑体"/>
                <w:bCs/>
                <w:color w:val="000000"/>
                <w:kern w:val="0"/>
                <w:sz w:val="21"/>
                <w:szCs w:val="21"/>
                <w:lang w:val="en-US"/>
              </w:rPr>
            </w:pPr>
            <w:r>
              <w:rPr>
                <w:rFonts w:hint="eastAsia" w:ascii="黑体" w:hAnsi="黑体" w:eastAsia="黑体" w:cs="黑体"/>
                <w:bCs/>
                <w:color w:val="000000"/>
                <w:kern w:val="0"/>
                <w:sz w:val="21"/>
                <w:szCs w:val="21"/>
                <w:lang w:val="en-US" w:eastAsia="zh-CN"/>
              </w:rPr>
              <w:t>为参保用户提供优质的服务，提高医保业务的日常工作效率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7"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c>
          <w:tcPr>
            <w:tcW w:w="219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为参保用户提供优质的服务，提高医保业务的日常工作效率达到95%，得满分，每下降10%，扣2分，扣完为止。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537"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10</w:t>
            </w:r>
            <w:r>
              <w:rPr>
                <w:rFonts w:hint="eastAsia" w:ascii="黑体" w:hAnsi="黑体" w:eastAsia="黑体" w:cs="黑体"/>
                <w:bCs/>
                <w:color w:val="000000"/>
                <w:kern w:val="0"/>
                <w:sz w:val="21"/>
                <w:szCs w:val="21"/>
              </w:rPr>
              <w:t>分）</w:t>
            </w:r>
          </w:p>
        </w:tc>
        <w:tc>
          <w:tcPr>
            <w:tcW w:w="579"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社会公众或服务对象满意度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w:t>
            </w:r>
            <w:r>
              <w:rPr>
                <w:rFonts w:hint="eastAsia" w:ascii="黑体" w:hAnsi="黑体" w:eastAsia="黑体" w:cs="黑体"/>
                <w:bCs/>
                <w:color w:val="000000"/>
                <w:kern w:val="0"/>
                <w:sz w:val="21"/>
                <w:szCs w:val="21"/>
              </w:rPr>
              <w:t>分）</w:t>
            </w:r>
          </w:p>
        </w:tc>
        <w:tc>
          <w:tcPr>
            <w:tcW w:w="126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参保人员满意度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417"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219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rPr>
              <w:t>对</w:t>
            </w:r>
            <w:r>
              <w:rPr>
                <w:rFonts w:hint="eastAsia" w:ascii="黑体" w:hAnsi="黑体" w:eastAsia="黑体" w:cs="黑体"/>
                <w:bCs/>
                <w:color w:val="000000"/>
                <w:kern w:val="0"/>
                <w:sz w:val="21"/>
                <w:szCs w:val="21"/>
                <w:lang w:val="en-US" w:eastAsia="zh-CN"/>
              </w:rPr>
              <w:t>参保人员满意度</w:t>
            </w:r>
            <w:r>
              <w:rPr>
                <w:rFonts w:hint="eastAsia" w:ascii="黑体" w:hAnsi="黑体" w:eastAsia="黑体" w:cs="黑体"/>
                <w:bCs/>
                <w:color w:val="000000"/>
                <w:kern w:val="0"/>
                <w:sz w:val="21"/>
                <w:szCs w:val="21"/>
              </w:rPr>
              <w:t xml:space="preserve">调查， </w:t>
            </w:r>
            <w:r>
              <w:rPr>
                <w:rFonts w:hint="eastAsia" w:ascii="黑体" w:hAnsi="黑体" w:eastAsia="黑体" w:cs="黑体"/>
                <w:bCs/>
                <w:color w:val="000000"/>
                <w:kern w:val="0"/>
                <w:sz w:val="21"/>
                <w:szCs w:val="21"/>
                <w:lang w:val="en-US" w:eastAsia="zh-CN"/>
              </w:rPr>
              <w:t>每下降5%，扣1分，扣完为止</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经调查，满意度为</w:t>
            </w:r>
            <w:r>
              <w:rPr>
                <w:rFonts w:hint="eastAsia" w:ascii="黑体" w:hAnsi="黑体" w:eastAsia="黑体" w:cs="黑体"/>
                <w:bCs/>
                <w:color w:val="000000"/>
                <w:kern w:val="0"/>
                <w:sz w:val="21"/>
                <w:szCs w:val="21"/>
                <w:lang w:val="en-US" w:eastAsia="zh-CN"/>
              </w:rPr>
              <w:t>95</w:t>
            </w:r>
            <w:r>
              <w:rPr>
                <w:rFonts w:hint="eastAsia" w:ascii="黑体" w:hAnsi="黑体" w:eastAsia="黑体" w:cs="黑体"/>
                <w:bCs/>
                <w:color w:val="000000"/>
                <w:kern w:val="0"/>
                <w:sz w:val="21"/>
                <w:szCs w:val="21"/>
              </w:rPr>
              <w:t>%</w:t>
            </w:r>
          </w:p>
        </w:tc>
      </w:tr>
    </w:tbl>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3、评价方法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组织相关人员对2022年度项目绩效进行自我评价。根据省、市相关政策制度，采用问卷调查等形式，收集相关信息资料，对各项指标进行逐项逐条审核，形成</w:t>
      </w:r>
      <w:r>
        <w:rPr>
          <w:rFonts w:hint="eastAsia" w:eastAsia="仿宋_GB2312" w:cs="Times New Roman"/>
          <w:bCs/>
          <w:sz w:val="32"/>
          <w:szCs w:val="32"/>
          <w:lang w:val="en-US" w:eastAsia="zh-CN"/>
        </w:rPr>
        <w:t>我局</w:t>
      </w:r>
      <w:r>
        <w:rPr>
          <w:rFonts w:hint="eastAsia" w:ascii="Times New Roman" w:hAnsi="Times New Roman" w:eastAsia="仿宋_GB2312" w:cs="Times New Roman"/>
          <w:bCs/>
          <w:sz w:val="32"/>
          <w:szCs w:val="32"/>
          <w:lang w:val="en-US" w:eastAsia="zh-CN"/>
        </w:rPr>
        <w:t>项目支出绩效评价报告。</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4、评价标准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项目按照项目决策指标、项目过程指标、项目产出指标、项目效益指标、项目满意度指标五项一级指标分别下设相应的二级和三级指标进行绩效评价。评分分为优秀、良好、中等和差四个等次。满分100分，分数在90分(含90分)以上评优秀;分数在80(含80分) -90之间评良好；分数在60(含60分) -80分为中，60分以下评差。</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（三）绩效评价工作过程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本项目绩效评价工作的过程，</w:t>
      </w:r>
      <w:r>
        <w:rPr>
          <w:rFonts w:hint="eastAsia" w:eastAsia="仿宋_GB2312" w:cs="Times New Roman"/>
          <w:bCs/>
          <w:sz w:val="32"/>
          <w:szCs w:val="32"/>
          <w:lang w:val="en-US" w:eastAsia="zh-CN"/>
        </w:rPr>
        <w:t>我局</w:t>
      </w:r>
      <w:r>
        <w:rPr>
          <w:rFonts w:hint="eastAsia" w:ascii="Times New Roman" w:hAnsi="Times New Roman" w:eastAsia="仿宋_GB2312" w:cs="Times New Roman"/>
          <w:bCs/>
          <w:sz w:val="32"/>
          <w:szCs w:val="32"/>
          <w:lang w:val="en-US" w:eastAsia="zh-CN"/>
        </w:rPr>
        <w:t>一是加强组织领导，成立了以主要领导为组长的工作领导小组，制定了绩效评价工作方案，明确了工作要求及工作步骤；二是客观评价，按照要求合理设置评价指标，对照绩效指标，开展实际与计划的对比分析，实事求是地评价完成情况；三是明确责任，建立绩效评价工作责任制，将绩效评价工作责任明确到相关责任人。</w:t>
      </w:r>
    </w:p>
    <w:p>
      <w:pPr>
        <w:spacing w:line="600" w:lineRule="exact"/>
        <w:ind w:firstLine="640" w:firstLineChars="200"/>
        <w:rPr>
          <w:rFonts w:hint="eastAsia" w:ascii="Times New Roman" w:hAnsi="Times New Roman" w:eastAsia="仿宋_GB2312" w:cs="Times New Roman"/>
          <w:b w:val="0"/>
          <w:bCs w:val="0"/>
          <w:color w:val="000000"/>
          <w:spacing w:val="0"/>
          <w:kern w:val="2"/>
          <w:sz w:val="32"/>
          <w:szCs w:val="32"/>
          <w:lang w:val="en-US" w:eastAsia="zh-CN" w:bidi="ar-SA"/>
        </w:rPr>
      </w:pPr>
      <w:r>
        <w:rPr>
          <w:rFonts w:hint="eastAsia" w:ascii="黑体" w:hAnsi="黑体" w:eastAsia="黑体" w:cs="Times New Roman"/>
          <w:color w:val="000000"/>
          <w:sz w:val="32"/>
          <w:szCs w:val="32"/>
          <w:lang w:val="en-US" w:eastAsia="zh-CN"/>
        </w:rPr>
        <w:t>三、综合评价情况及评价结论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根据</w:t>
      </w:r>
      <w:r>
        <w:rPr>
          <w:rFonts w:hint="eastAsia" w:ascii="仿宋_GB2312" w:hAnsi="仿宋_GB2312" w:eastAsia="仿宋_GB2312" w:cs="仿宋_GB2312"/>
          <w:sz w:val="32"/>
          <w:szCs w:val="28"/>
        </w:rPr>
        <w:t>《项目支出绩效评价共性指标体系框架》（</w:t>
      </w:r>
      <w:r>
        <w:rPr>
          <w:rFonts w:hint="eastAsia" w:ascii="仿宋_GB2312" w:hAnsi="仿宋_GB2312" w:eastAsia="仿宋_GB2312" w:cs="仿宋_GB2312"/>
          <w:sz w:val="32"/>
          <w:szCs w:val="28"/>
          <w:lang w:val="en-US" w:eastAsia="zh-CN"/>
        </w:rPr>
        <w:t>赣</w:t>
      </w:r>
      <w:r>
        <w:rPr>
          <w:rFonts w:hint="eastAsia" w:ascii="仿宋_GB2312" w:hAnsi="仿宋_GB2312" w:eastAsia="仿宋_GB2312" w:cs="仿宋_GB2312"/>
          <w:sz w:val="32"/>
          <w:szCs w:val="28"/>
        </w:rPr>
        <w:t>财</w:t>
      </w:r>
      <w:r>
        <w:rPr>
          <w:rFonts w:hint="eastAsia" w:ascii="仿宋_GB2312" w:hAnsi="仿宋_GB2312" w:eastAsia="仿宋_GB2312" w:cs="仿宋_GB2312"/>
          <w:sz w:val="32"/>
          <w:szCs w:val="28"/>
          <w:lang w:val="en-US" w:eastAsia="zh-CN"/>
        </w:rPr>
        <w:t>绩</w:t>
      </w:r>
      <w:r>
        <w:rPr>
          <w:rFonts w:hint="eastAsia" w:ascii="仿宋_GB2312" w:hAnsi="仿宋_GB2312" w:eastAsia="仿宋_GB2312" w:cs="仿宋_GB2312"/>
          <w:sz w:val="32"/>
          <w:szCs w:val="28"/>
        </w:rPr>
        <w:t>〔202</w:t>
      </w:r>
      <w:r>
        <w:rPr>
          <w:rFonts w:hint="eastAsia" w:ascii="仿宋_GB2312" w:hAnsi="仿宋_GB2312" w:eastAsia="仿宋_GB2312" w:cs="仿宋_GB2312"/>
          <w:sz w:val="32"/>
          <w:szCs w:val="28"/>
          <w:lang w:val="en-US" w:eastAsia="zh-CN"/>
        </w:rPr>
        <w:t>2</w:t>
      </w:r>
      <w:r>
        <w:rPr>
          <w:rFonts w:hint="eastAsia" w:ascii="仿宋_GB2312" w:hAnsi="仿宋_GB2312" w:eastAsia="仿宋_GB2312" w:cs="仿宋_GB2312"/>
          <w:sz w:val="32"/>
          <w:szCs w:val="28"/>
        </w:rPr>
        <w:t>〕</w:t>
      </w:r>
      <w:r>
        <w:rPr>
          <w:rFonts w:hint="eastAsia" w:ascii="仿宋_GB2312" w:hAnsi="仿宋_GB2312" w:eastAsia="仿宋_GB2312" w:cs="仿宋_GB2312"/>
          <w:sz w:val="32"/>
          <w:szCs w:val="28"/>
          <w:lang w:val="en-US" w:eastAsia="zh-CN"/>
        </w:rPr>
        <w:t>9</w:t>
      </w:r>
      <w:r>
        <w:rPr>
          <w:rFonts w:hint="eastAsia" w:ascii="仿宋_GB2312" w:hAnsi="仿宋_GB2312" w:eastAsia="仿宋_GB2312" w:cs="仿宋_GB2312"/>
          <w:sz w:val="32"/>
          <w:szCs w:val="28"/>
        </w:rPr>
        <w:t>号）</w:t>
      </w:r>
      <w:r>
        <w:rPr>
          <w:rFonts w:hint="eastAsia" w:ascii="仿宋_GB2312" w:hAnsi="仿宋_GB2312" w:eastAsia="仿宋_GB2312" w:cs="仿宋_GB2312"/>
          <w:sz w:val="32"/>
          <w:szCs w:val="28"/>
          <w:lang w:val="en-US" w:eastAsia="zh-CN"/>
        </w:rPr>
        <w:t>文件</w:t>
      </w:r>
      <w:r>
        <w:rPr>
          <w:rFonts w:hint="eastAsia" w:ascii="仿宋_GB2312" w:hAnsi="仿宋_GB2312" w:eastAsia="仿宋_GB2312" w:cs="仿宋_GB2312"/>
          <w:sz w:val="32"/>
          <w:szCs w:val="28"/>
        </w:rPr>
        <w:t>及本项目的具体特点，</w:t>
      </w:r>
      <w:r>
        <w:rPr>
          <w:rFonts w:hint="eastAsia" w:ascii="仿宋" w:hAnsi="仿宋" w:eastAsia="仿宋"/>
          <w:sz w:val="32"/>
          <w:szCs w:val="32"/>
        </w:rPr>
        <w:t>确定本次绩效评价指标的整体框架，包括执行率指标（资金落实）、产出</w:t>
      </w:r>
      <w:r>
        <w:rPr>
          <w:rFonts w:hint="eastAsia" w:ascii="仿宋" w:hAnsi="仿宋" w:eastAsia="仿宋"/>
          <w:sz w:val="32"/>
          <w:szCs w:val="32"/>
          <w:lang w:val="en-US" w:eastAsia="zh-CN"/>
        </w:rPr>
        <w:t>指标</w:t>
      </w:r>
      <w:r>
        <w:rPr>
          <w:rFonts w:hint="eastAsia" w:ascii="仿宋" w:hAnsi="仿宋" w:eastAsia="仿宋"/>
          <w:sz w:val="32"/>
          <w:szCs w:val="32"/>
        </w:rPr>
        <w:t>（产出数量、产出质量、产出时效、产出成本）、效益</w:t>
      </w:r>
      <w:r>
        <w:rPr>
          <w:rFonts w:hint="eastAsia" w:ascii="仿宋" w:hAnsi="仿宋" w:eastAsia="仿宋"/>
          <w:sz w:val="32"/>
          <w:szCs w:val="32"/>
          <w:lang w:val="en-US" w:eastAsia="zh-CN"/>
        </w:rPr>
        <w:t>指标</w:t>
      </w:r>
      <w:r>
        <w:rPr>
          <w:rFonts w:hint="eastAsia" w:ascii="仿宋" w:hAnsi="仿宋" w:eastAsia="仿宋"/>
          <w:sz w:val="32"/>
          <w:szCs w:val="32"/>
        </w:rPr>
        <w:t>（经济效益、社会效益、生态效益、可持续影响）、满意度</w:t>
      </w:r>
      <w:r>
        <w:rPr>
          <w:rFonts w:hint="eastAsia" w:ascii="仿宋" w:hAnsi="仿宋" w:eastAsia="仿宋"/>
          <w:sz w:val="32"/>
          <w:szCs w:val="32"/>
          <w:lang w:val="en-US" w:eastAsia="zh-CN"/>
        </w:rPr>
        <w:t>指标</w:t>
      </w:r>
      <w:r>
        <w:rPr>
          <w:rFonts w:hint="eastAsia" w:ascii="仿宋" w:hAnsi="仿宋" w:eastAsia="仿宋"/>
          <w:sz w:val="32"/>
          <w:szCs w:val="32"/>
        </w:rPr>
        <w:t>（社会公众或服务对象满意度）</w:t>
      </w:r>
      <w:r>
        <w:rPr>
          <w:rFonts w:hint="eastAsia" w:ascii="Times New Roman" w:hAnsi="Times New Roman" w:eastAsia="仿宋_GB2312" w:cs="Times New Roman"/>
          <w:bCs/>
          <w:sz w:val="32"/>
          <w:szCs w:val="32"/>
          <w:lang w:val="en-US" w:eastAsia="zh-CN"/>
        </w:rPr>
        <w:t>，经认真逐条评价，2022年</w:t>
      </w:r>
      <w:r>
        <w:rPr>
          <w:rFonts w:hint="eastAsia" w:eastAsia="仿宋_GB2312" w:cs="Times New Roman"/>
          <w:bCs/>
          <w:sz w:val="32"/>
          <w:szCs w:val="32"/>
          <w:lang w:val="en-US" w:eastAsia="zh-CN"/>
        </w:rPr>
        <w:t>医疗保险业务经办能力提升</w:t>
      </w:r>
      <w:r>
        <w:rPr>
          <w:rFonts w:hint="eastAsia" w:ascii="Times New Roman" w:hAnsi="Times New Roman" w:eastAsia="仿宋_GB2312" w:cs="Times New Roman"/>
          <w:bCs/>
          <w:sz w:val="32"/>
          <w:szCs w:val="32"/>
          <w:lang w:val="en-US" w:eastAsia="zh-CN"/>
        </w:rPr>
        <w:t>项目支出绩效评价得分</w:t>
      </w:r>
      <w:r>
        <w:rPr>
          <w:rFonts w:hint="eastAsia" w:eastAsia="仿宋_GB2312" w:cs="Times New Roman"/>
          <w:bCs/>
          <w:sz w:val="32"/>
          <w:szCs w:val="32"/>
          <w:lang w:val="en-US" w:eastAsia="zh-CN"/>
        </w:rPr>
        <w:t>99.74</w:t>
      </w:r>
      <w:r>
        <w:rPr>
          <w:rFonts w:hint="eastAsia" w:ascii="Times New Roman" w:hAnsi="Times New Roman" w:eastAsia="仿宋_GB2312" w:cs="Times New Roman"/>
          <w:bCs/>
          <w:sz w:val="32"/>
          <w:szCs w:val="32"/>
          <w:lang w:val="en-US" w:eastAsia="zh-CN"/>
        </w:rPr>
        <w:t>分，档次“优秀”。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评分详情见下表：</w:t>
      </w:r>
    </w:p>
    <w:tbl>
      <w:tblPr>
        <w:tblStyle w:val="6"/>
        <w:tblW w:w="48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752"/>
        <w:gridCol w:w="3706"/>
        <w:gridCol w:w="1333"/>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812"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一级</w:t>
            </w:r>
          </w:p>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指标</w:t>
            </w:r>
          </w:p>
        </w:tc>
        <w:tc>
          <w:tcPr>
            <w:tcW w:w="915"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二级指标</w:t>
            </w:r>
          </w:p>
        </w:tc>
        <w:tc>
          <w:tcPr>
            <w:tcW w:w="1934"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三级指标</w:t>
            </w:r>
          </w:p>
        </w:tc>
        <w:tc>
          <w:tcPr>
            <w:tcW w:w="696"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分值权重</w:t>
            </w:r>
          </w:p>
        </w:tc>
        <w:tc>
          <w:tcPr>
            <w:tcW w:w="641" w:type="pct"/>
            <w:noWrap w:val="0"/>
            <w:vAlign w:val="center"/>
          </w:tcPr>
          <w:p>
            <w:pPr>
              <w:widowControl/>
              <w:jc w:val="center"/>
              <w:rPr>
                <w:rFonts w:hint="default" w:ascii="黑体" w:hAnsi="黑体" w:eastAsia="黑体" w:cs="黑体"/>
                <w:b w:val="0"/>
                <w:bCs/>
                <w:color w:val="000000"/>
                <w:kern w:val="0"/>
                <w:sz w:val="21"/>
                <w:szCs w:val="21"/>
                <w:lang w:val="en-US" w:eastAsia="zh-CN"/>
              </w:rPr>
            </w:pPr>
            <w:r>
              <w:rPr>
                <w:rFonts w:hint="eastAsia" w:ascii="黑体" w:hAnsi="黑体" w:eastAsia="黑体" w:cs="黑体"/>
                <w:b w:val="0"/>
                <w:bCs/>
                <w:color w:val="000000"/>
                <w:kern w:val="0"/>
                <w:sz w:val="21"/>
                <w:szCs w:val="21"/>
                <w:lang w:val="en-US" w:eastAsia="zh-CN"/>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812"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决策</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（1</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　</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tc>
        <w:tc>
          <w:tcPr>
            <w:tcW w:w="915"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项目立项</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p>
        </w:tc>
        <w:tc>
          <w:tcPr>
            <w:tcW w:w="193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立项依据</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充分性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96"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.5</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93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立项程</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规范性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9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绩效目标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r>
              <w:rPr>
                <w:rFonts w:hint="eastAsia" w:ascii="黑体" w:hAnsi="黑体" w:eastAsia="黑体" w:cs="黑体"/>
                <w:bCs/>
                <w:color w:val="000000"/>
                <w:kern w:val="0"/>
                <w:sz w:val="21"/>
                <w:szCs w:val="21"/>
              </w:rPr>
              <w:t>　</w:t>
            </w:r>
          </w:p>
        </w:tc>
        <w:tc>
          <w:tcPr>
            <w:tcW w:w="193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绩效目标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96"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2.5</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93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绩效指标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明确性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96"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2.5</w:t>
            </w:r>
          </w:p>
          <w:p>
            <w:pPr>
              <w:pStyle w:val="9"/>
              <w:rPr>
                <w:rFonts w:hint="eastAsia"/>
                <w:lang w:eastAsia="zh-CN"/>
              </w:rPr>
            </w:pP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资金投入</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p>
        </w:tc>
        <w:tc>
          <w:tcPr>
            <w:tcW w:w="193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预算编制</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科学性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96" w:type="pct"/>
            <w:noWrap w:val="0"/>
            <w:vAlign w:val="center"/>
          </w:tcPr>
          <w:p>
            <w:pPr>
              <w:widowControl/>
              <w:jc w:val="center"/>
              <w:rPr>
                <w:rFonts w:hint="eastAsia" w:ascii="黑体" w:hAnsi="黑体" w:eastAsia="黑体" w:cs="黑体"/>
                <w:bCs/>
                <w:color w:val="000000"/>
                <w:kern w:val="0"/>
                <w:sz w:val="21"/>
                <w:szCs w:val="21"/>
                <w:lang w:val="en-US"/>
              </w:rPr>
            </w:pPr>
            <w:r>
              <w:rPr>
                <w:rFonts w:hint="eastAsia" w:ascii="黑体" w:hAnsi="黑体" w:eastAsia="黑体" w:cs="黑体"/>
                <w:bCs/>
                <w:color w:val="000000"/>
                <w:kern w:val="0"/>
                <w:sz w:val="21"/>
                <w:szCs w:val="21"/>
                <w:lang w:val="en-US" w:eastAsia="zh-CN"/>
              </w:rPr>
              <w:t>2.5</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93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资金分配</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9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12"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过程</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15</w:t>
            </w:r>
            <w:r>
              <w:rPr>
                <w:rFonts w:hint="eastAsia" w:ascii="黑体" w:hAnsi="黑体" w:eastAsia="黑体" w:cs="黑体"/>
                <w:bCs/>
                <w:color w:val="000000"/>
                <w:kern w:val="0"/>
                <w:sz w:val="21"/>
                <w:szCs w:val="21"/>
              </w:rPr>
              <w:t>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tc>
        <w:tc>
          <w:tcPr>
            <w:tcW w:w="915"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资金管理</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93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资金到位率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3分）</w:t>
            </w:r>
          </w:p>
        </w:tc>
        <w:tc>
          <w:tcPr>
            <w:tcW w:w="696"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3</w:t>
            </w:r>
          </w:p>
        </w:tc>
        <w:tc>
          <w:tcPr>
            <w:tcW w:w="641"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93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预算执行率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4分）</w:t>
            </w:r>
          </w:p>
        </w:tc>
        <w:tc>
          <w:tcPr>
            <w:tcW w:w="696"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4</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93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资金使用</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合规性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3分）</w:t>
            </w:r>
          </w:p>
        </w:tc>
        <w:tc>
          <w:tcPr>
            <w:tcW w:w="696"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3</w:t>
            </w:r>
          </w:p>
        </w:tc>
        <w:tc>
          <w:tcPr>
            <w:tcW w:w="641"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组织实施</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r>
              <w:rPr>
                <w:rFonts w:hint="eastAsia" w:ascii="黑体" w:hAnsi="黑体" w:eastAsia="黑体" w:cs="黑体"/>
                <w:bCs/>
                <w:color w:val="000000"/>
                <w:kern w:val="0"/>
                <w:sz w:val="21"/>
                <w:szCs w:val="21"/>
              </w:rPr>
              <w:t>　</w:t>
            </w:r>
          </w:p>
        </w:tc>
        <w:tc>
          <w:tcPr>
            <w:tcW w:w="193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管理制度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健全性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96"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2.5</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934"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制度执行</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有效性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96"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2.5</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12"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w:t>
            </w:r>
            <w:r>
              <w:rPr>
                <w:rFonts w:hint="eastAsia" w:ascii="黑体" w:hAnsi="黑体" w:eastAsia="黑体" w:cs="黑体"/>
                <w:bCs/>
                <w:color w:val="000000"/>
                <w:kern w:val="0"/>
                <w:sz w:val="21"/>
                <w:szCs w:val="21"/>
                <w:lang w:val="en-US" w:eastAsia="zh-CN"/>
              </w:rPr>
              <w:t>35</w:t>
            </w:r>
            <w:r>
              <w:rPr>
                <w:rFonts w:hint="eastAsia" w:ascii="黑体" w:hAnsi="黑体" w:eastAsia="黑体" w:cs="黑体"/>
                <w:bCs/>
                <w:color w:val="000000"/>
                <w:kern w:val="0"/>
                <w:sz w:val="21"/>
                <w:szCs w:val="21"/>
              </w:rPr>
              <w:t>分）</w:t>
            </w:r>
          </w:p>
        </w:tc>
        <w:tc>
          <w:tcPr>
            <w:tcW w:w="915"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产出数量</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934"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两定机构准入评估3次</w:t>
            </w:r>
          </w:p>
        </w:tc>
        <w:tc>
          <w:tcPr>
            <w:tcW w:w="69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劳务保障代理41人</w:t>
            </w:r>
          </w:p>
        </w:tc>
        <w:tc>
          <w:tcPr>
            <w:tcW w:w="69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641"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医保信息网络平台运维网点385个</w:t>
            </w:r>
          </w:p>
        </w:tc>
        <w:tc>
          <w:tcPr>
            <w:tcW w:w="69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建设医疗保障一体化服务中心17家</w:t>
            </w:r>
          </w:p>
        </w:tc>
        <w:tc>
          <w:tcPr>
            <w:tcW w:w="69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残疾人就业保障1人</w:t>
            </w:r>
          </w:p>
        </w:tc>
        <w:tc>
          <w:tcPr>
            <w:tcW w:w="69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641"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网络信息安全防护设备采购2批次</w:t>
            </w:r>
          </w:p>
        </w:tc>
        <w:tc>
          <w:tcPr>
            <w:tcW w:w="69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641"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产出质量</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93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17家医疗保障一体化服务中心建设运营情况</w:t>
            </w:r>
          </w:p>
        </w:tc>
        <w:tc>
          <w:tcPr>
            <w:tcW w:w="69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641" w:type="pct"/>
            <w:noWrap w:val="0"/>
            <w:vAlign w:val="center"/>
          </w:tcPr>
          <w:p>
            <w:pPr>
              <w:widowControl/>
              <w:jc w:val="center"/>
              <w:rPr>
                <w:rFonts w:hint="default" w:ascii="黑体" w:hAnsi="宋体" w:eastAsia="黑体" w:cs="宋体"/>
                <w:kern w:val="0"/>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两定机构准入评估工作进展率</w:t>
            </w:r>
          </w:p>
        </w:tc>
        <w:tc>
          <w:tcPr>
            <w:tcW w:w="69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641" w:type="pct"/>
            <w:noWrap w:val="0"/>
            <w:vAlign w:val="center"/>
          </w:tcPr>
          <w:p>
            <w:pPr>
              <w:widowControl/>
              <w:jc w:val="center"/>
              <w:rPr>
                <w:rFonts w:hint="eastAsia" w:ascii="黑体" w:hAnsi="宋体" w:eastAsia="黑体" w:cs="宋体"/>
                <w:kern w:val="0"/>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劳务保障代理工作执行率</w:t>
            </w:r>
          </w:p>
        </w:tc>
        <w:tc>
          <w:tcPr>
            <w:tcW w:w="69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641" w:type="pct"/>
            <w:noWrap w:val="0"/>
            <w:vAlign w:val="center"/>
          </w:tcPr>
          <w:p>
            <w:pPr>
              <w:widowControl/>
              <w:jc w:val="center"/>
              <w:rPr>
                <w:rFonts w:hint="eastAsia" w:ascii="黑体" w:hAnsi="宋体" w:eastAsia="黑体" w:cs="宋体"/>
                <w:kern w:val="0"/>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医保信息网络平台运维正常性</w:t>
            </w:r>
          </w:p>
        </w:tc>
        <w:tc>
          <w:tcPr>
            <w:tcW w:w="69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残疾人就业保障金是否发放</w:t>
            </w:r>
          </w:p>
        </w:tc>
        <w:tc>
          <w:tcPr>
            <w:tcW w:w="69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网络信息安全防护设备验收合格率</w:t>
            </w:r>
          </w:p>
        </w:tc>
        <w:tc>
          <w:tcPr>
            <w:tcW w:w="69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641" w:type="pct"/>
            <w:noWrap w:val="0"/>
            <w:vAlign w:val="center"/>
          </w:tcPr>
          <w:p>
            <w:pPr>
              <w:widowControl/>
              <w:jc w:val="center"/>
              <w:rPr>
                <w:rFonts w:hint="eastAsia" w:ascii="黑体" w:hAnsi="宋体" w:eastAsia="黑体" w:cs="宋体"/>
                <w:kern w:val="0"/>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产出时效</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93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两定机构准入评估工作完成及时率</w:t>
            </w:r>
          </w:p>
        </w:tc>
        <w:tc>
          <w:tcPr>
            <w:tcW w:w="69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劳务保障代理工作完成及时率</w:t>
            </w:r>
          </w:p>
        </w:tc>
        <w:tc>
          <w:tcPr>
            <w:tcW w:w="69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641"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医保信息网络平台运维工作完成及时率</w:t>
            </w:r>
          </w:p>
        </w:tc>
        <w:tc>
          <w:tcPr>
            <w:tcW w:w="69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医疗保障一体化服务中心建设完成及时率</w:t>
            </w:r>
          </w:p>
        </w:tc>
        <w:tc>
          <w:tcPr>
            <w:tcW w:w="69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残疾人就业保障金发放及时率</w:t>
            </w:r>
          </w:p>
        </w:tc>
        <w:tc>
          <w:tcPr>
            <w:tcW w:w="69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641"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网络信息安全防护设备采购完成及时率</w:t>
            </w:r>
          </w:p>
        </w:tc>
        <w:tc>
          <w:tcPr>
            <w:tcW w:w="69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641"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restar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产出成本</w:t>
            </w:r>
          </w:p>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（5分）</w:t>
            </w:r>
          </w:p>
        </w:tc>
        <w:tc>
          <w:tcPr>
            <w:tcW w:w="1934"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两定机构准入评估工作成本控制率</w:t>
            </w:r>
          </w:p>
        </w:tc>
        <w:tc>
          <w:tcPr>
            <w:tcW w:w="69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劳务保障代理工作成本控制率</w:t>
            </w:r>
          </w:p>
        </w:tc>
        <w:tc>
          <w:tcPr>
            <w:tcW w:w="69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0.5</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医保信息网络平台运维工作成本控制率</w:t>
            </w:r>
          </w:p>
        </w:tc>
        <w:tc>
          <w:tcPr>
            <w:tcW w:w="69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医疗保障一体化服务中心建设成本控制率</w:t>
            </w:r>
          </w:p>
        </w:tc>
        <w:tc>
          <w:tcPr>
            <w:tcW w:w="69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641"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残疾人就业保障金发放成本控制率</w:t>
            </w:r>
          </w:p>
        </w:tc>
        <w:tc>
          <w:tcPr>
            <w:tcW w:w="69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0.5</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2" w:type="pct"/>
            <w:vMerge w:val="continue"/>
            <w:noWrap w:val="0"/>
            <w:vAlign w:val="center"/>
          </w:tcPr>
          <w:p>
            <w:pPr>
              <w:widowControl/>
              <w:jc w:val="center"/>
              <w:rPr>
                <w:rFonts w:hint="eastAsia" w:ascii="黑体" w:hAnsi="黑体" w:eastAsia="黑体" w:cs="黑体"/>
                <w:bCs/>
                <w:color w:val="000000"/>
                <w:kern w:val="0"/>
                <w:sz w:val="21"/>
                <w:szCs w:val="21"/>
              </w:rPr>
            </w:pPr>
          </w:p>
        </w:tc>
        <w:tc>
          <w:tcPr>
            <w:tcW w:w="915"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193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网络信息安全防护设备采购成本控制率</w:t>
            </w:r>
          </w:p>
        </w:tc>
        <w:tc>
          <w:tcPr>
            <w:tcW w:w="69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641"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8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效益（2</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　</w:t>
            </w:r>
          </w:p>
        </w:tc>
        <w:tc>
          <w:tcPr>
            <w:tcW w:w="91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社会效益</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1934" w:type="pct"/>
            <w:noWrap w:val="0"/>
            <w:vAlign w:val="center"/>
          </w:tcPr>
          <w:p>
            <w:pPr>
              <w:widowControl/>
              <w:jc w:val="center"/>
              <w:rPr>
                <w:rFonts w:hint="default" w:ascii="黑体" w:hAnsi="黑体" w:eastAsia="黑体" w:cs="黑体"/>
                <w:bCs/>
                <w:color w:val="000000"/>
                <w:kern w:val="0"/>
                <w:sz w:val="21"/>
                <w:szCs w:val="21"/>
                <w:lang w:val="en-US"/>
              </w:rPr>
            </w:pPr>
            <w:r>
              <w:rPr>
                <w:rFonts w:hint="eastAsia" w:ascii="黑体" w:hAnsi="黑体" w:eastAsia="黑体" w:cs="黑体"/>
                <w:bCs/>
                <w:color w:val="000000"/>
                <w:kern w:val="0"/>
                <w:sz w:val="21"/>
                <w:szCs w:val="21"/>
                <w:lang w:val="en-US" w:eastAsia="zh-CN"/>
              </w:rPr>
              <w:t>为参保用户提供优质的服务，提高医保业务的日常工作效率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69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c>
          <w:tcPr>
            <w:tcW w:w="641" w:type="pct"/>
            <w:noWrap w:val="0"/>
            <w:vAlign w:val="center"/>
          </w:tcPr>
          <w:p>
            <w:pPr>
              <w:widowControl/>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1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10</w:t>
            </w:r>
            <w:r>
              <w:rPr>
                <w:rFonts w:hint="eastAsia" w:ascii="黑体" w:hAnsi="黑体" w:eastAsia="黑体" w:cs="黑体"/>
                <w:bCs/>
                <w:color w:val="000000"/>
                <w:kern w:val="0"/>
                <w:sz w:val="21"/>
                <w:szCs w:val="21"/>
              </w:rPr>
              <w:t>分）</w:t>
            </w:r>
          </w:p>
        </w:tc>
        <w:tc>
          <w:tcPr>
            <w:tcW w:w="915"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社会公众或服务对象满意度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w:t>
            </w:r>
            <w:r>
              <w:rPr>
                <w:rFonts w:hint="eastAsia" w:ascii="黑体" w:hAnsi="黑体" w:eastAsia="黑体" w:cs="黑体"/>
                <w:bCs/>
                <w:color w:val="000000"/>
                <w:kern w:val="0"/>
                <w:sz w:val="21"/>
                <w:szCs w:val="21"/>
              </w:rPr>
              <w:t>分）</w:t>
            </w:r>
          </w:p>
        </w:tc>
        <w:tc>
          <w:tcPr>
            <w:tcW w:w="1934"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参保人员满意度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696"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662" w:type="pct"/>
            <w:gridSpan w:val="3"/>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总分</w:t>
            </w:r>
          </w:p>
        </w:tc>
        <w:tc>
          <w:tcPr>
            <w:tcW w:w="696"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100</w:t>
            </w:r>
          </w:p>
        </w:tc>
        <w:tc>
          <w:tcPr>
            <w:tcW w:w="641"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99.74</w:t>
            </w:r>
          </w:p>
        </w:tc>
      </w:tr>
    </w:tbl>
    <w:p>
      <w:pPr>
        <w:spacing w:line="600" w:lineRule="exact"/>
        <w:ind w:firstLine="640" w:firstLineChars="200"/>
        <w:rPr>
          <w:rFonts w:hint="eastAsia" w:ascii="黑体" w:hAnsi="黑体" w:eastAsia="黑体" w:cs="Times New Roman"/>
          <w:color w:val="000000"/>
          <w:sz w:val="32"/>
          <w:szCs w:val="32"/>
          <w:lang w:val="en-US" w:eastAsia="zh-CN"/>
        </w:rPr>
      </w:pPr>
      <w:r>
        <w:rPr>
          <w:rFonts w:hint="eastAsia" w:ascii="黑体" w:hAnsi="黑体" w:eastAsia="黑体" w:cs="Times New Roman"/>
          <w:color w:val="000000"/>
          <w:sz w:val="32"/>
          <w:szCs w:val="32"/>
          <w:lang w:val="en-US" w:eastAsia="zh-CN"/>
        </w:rPr>
        <w:t>四、绩效评价指标分析</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（一）项目决策情况</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1、项目立项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（1）立项依据充分性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医疗保险业务经办能力提升项目是依据财政相关要求立项实施的，该项目立项依据充分，符合日常职责所需，本次项目资金由南昌市财政局下拨，依据《南昌市医疗保障局关于印发&lt;全市医疗保障服务设置与服务规范(试行)&gt;的通知》（洪医保发[2022]90号）、南昌市医疗保障一体化服务中心规划建设方案、南昌市医疗保障局医保综合改革先行示范市建设实施方案与《江西省医疗保障局关于2022年全省“医疗保障改革示范点”评选结果的通知》等文件要求，本次所需经费纳入预算，属于公共财政支持范围，且同时符合中央、地方事权支出责任划分原则，该指标得分2.5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（2）立项程序规范性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按照规定的程序，</w:t>
      </w:r>
      <w:r>
        <w:rPr>
          <w:rFonts w:hint="eastAsia" w:eastAsia="仿宋_GB2312" w:cs="Times New Roman"/>
          <w:bCs/>
          <w:sz w:val="32"/>
          <w:szCs w:val="32"/>
          <w:lang w:val="en-US" w:eastAsia="zh-CN"/>
        </w:rPr>
        <w:t>医疗保险业务经办能力提升</w:t>
      </w:r>
      <w:r>
        <w:rPr>
          <w:rFonts w:hint="eastAsia" w:ascii="Times New Roman" w:hAnsi="Times New Roman" w:eastAsia="仿宋_GB2312" w:cs="Times New Roman"/>
          <w:bCs/>
          <w:sz w:val="32"/>
          <w:szCs w:val="32"/>
          <w:lang w:val="en-US" w:eastAsia="zh-CN"/>
        </w:rPr>
        <w:t>纳入年度预算中，所提供的文件、材料符合相关要求或事前已经过必要的可行性研究、专家论证、风险评估、集体决策等，该项目绩效目标细化分解为具体的绩效指标，包括投入指标、过程指标、项目产出、项目效果、项目满意度指标，与项目年度任务数</w:t>
      </w:r>
      <w:r>
        <w:rPr>
          <w:rFonts w:hint="eastAsia" w:eastAsia="仿宋_GB2312" w:cs="Times New Roman"/>
          <w:bCs/>
          <w:sz w:val="32"/>
          <w:szCs w:val="32"/>
          <w:lang w:val="en-US" w:eastAsia="zh-CN"/>
        </w:rPr>
        <w:t>666</w:t>
      </w:r>
      <w:r>
        <w:rPr>
          <w:rFonts w:hint="eastAsia" w:ascii="Times New Roman" w:hAnsi="Times New Roman" w:eastAsia="仿宋_GB2312" w:cs="Times New Roman"/>
          <w:bCs/>
          <w:sz w:val="32"/>
          <w:szCs w:val="32"/>
          <w:lang w:val="en-US" w:eastAsia="zh-CN"/>
        </w:rPr>
        <w:t>万元相应，与预算确定的项目资金量相匹配，得2.5分。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2、绩效目标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（1）绩效目标合理性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该项目的绩效目标设置情况与实际工作内容基本相符，项目预期产出及效益与正常的业绩水平相适应，按项目测算依据为标准设定的绩效目标与预算确定的项目资金量相匹配，该指标得分2.5分。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（2）绩效指标明确性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eastAsia="仿宋_GB2312" w:cs="Times New Roman"/>
          <w:bCs/>
          <w:sz w:val="32"/>
          <w:szCs w:val="32"/>
          <w:lang w:val="en-US" w:eastAsia="zh-CN"/>
        </w:rPr>
        <w:t>医疗保险业务经办能力提升</w:t>
      </w:r>
      <w:r>
        <w:rPr>
          <w:rFonts w:hint="eastAsia" w:ascii="Times New Roman" w:hAnsi="Times New Roman" w:eastAsia="仿宋_GB2312" w:cs="Times New Roman"/>
          <w:bCs/>
          <w:sz w:val="32"/>
          <w:szCs w:val="32"/>
          <w:lang w:val="en-US" w:eastAsia="zh-CN"/>
        </w:rPr>
        <w:t>项目根据2022年度项目实施内容，设置了数量、质量、时效、可持续影响、经济效益、社会效益及服务对象满意度等绩效指标，指标设置较为量化，指标内容较为明确，该指标得分2.5分。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4、资金投入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（1）预算编制科学性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eastAsia="仿宋_GB2312" w:cs="Times New Roman"/>
          <w:bCs/>
          <w:sz w:val="32"/>
          <w:szCs w:val="32"/>
          <w:lang w:val="en-US" w:eastAsia="zh-CN"/>
        </w:rPr>
        <w:t>我局</w:t>
      </w:r>
      <w:r>
        <w:rPr>
          <w:rFonts w:hint="eastAsia" w:ascii="Times New Roman" w:hAnsi="Times New Roman" w:eastAsia="仿宋_GB2312" w:cs="Times New Roman"/>
          <w:bCs/>
          <w:sz w:val="32"/>
          <w:szCs w:val="32"/>
          <w:lang w:val="en-US" w:eastAsia="zh-CN"/>
        </w:rPr>
        <w:t>根据预算编制依据、预算资金总额度及资金用途进行预算编制，预算资金安排严格按照了相关文件要求执行，该项目依照资金具体用途编制了项目预算和资金使用测算表，资金投入分解较为细化，与项目实施内容基本匹配，本年度资金预算为</w:t>
      </w:r>
      <w:r>
        <w:rPr>
          <w:rFonts w:hint="eastAsia" w:eastAsia="仿宋_GB2312" w:cs="Times New Roman"/>
          <w:bCs/>
          <w:sz w:val="32"/>
          <w:szCs w:val="32"/>
          <w:lang w:val="en-US" w:eastAsia="zh-CN"/>
        </w:rPr>
        <w:t>666</w:t>
      </w:r>
      <w:r>
        <w:rPr>
          <w:rFonts w:hint="eastAsia" w:ascii="Times New Roman" w:hAnsi="Times New Roman" w:eastAsia="仿宋_GB2312" w:cs="Times New Roman"/>
          <w:bCs/>
          <w:sz w:val="32"/>
          <w:szCs w:val="32"/>
          <w:lang w:val="en-US" w:eastAsia="zh-CN"/>
        </w:rPr>
        <w:t>万元，预算确定的项目资金量与工作任务一致。该指标得分2.5分。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（2）资金分配合理性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该项目的资金分配过程主要参考了</w:t>
      </w:r>
      <w:r>
        <w:rPr>
          <w:rFonts w:hint="eastAsia" w:eastAsia="仿宋_GB2312" w:cs="Times New Roman"/>
          <w:bCs/>
          <w:sz w:val="32"/>
          <w:szCs w:val="32"/>
          <w:lang w:val="en-US" w:eastAsia="zh-CN"/>
        </w:rPr>
        <w:t>项目资金测算表</w:t>
      </w:r>
      <w:r>
        <w:rPr>
          <w:rFonts w:hint="eastAsia" w:ascii="Times New Roman" w:hAnsi="Times New Roman" w:eastAsia="仿宋_GB2312" w:cs="Times New Roman"/>
          <w:bCs/>
          <w:sz w:val="32"/>
          <w:szCs w:val="32"/>
          <w:lang w:val="en-US" w:eastAsia="zh-CN"/>
        </w:rPr>
        <w:t>等文件，预算资金分配依据充分，资金分配额度合理。该指标得分2.5分。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（二）项目过程情况</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1、资金管理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（1）资金到位率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2022年</w:t>
      </w:r>
      <w:r>
        <w:rPr>
          <w:rFonts w:hint="eastAsia" w:eastAsia="仿宋_GB2312" w:cs="Times New Roman"/>
          <w:bCs/>
          <w:sz w:val="32"/>
          <w:szCs w:val="32"/>
          <w:lang w:val="en-US" w:eastAsia="zh-CN"/>
        </w:rPr>
        <w:t>医疗保险业务经办能力提升</w:t>
      </w:r>
      <w:r>
        <w:rPr>
          <w:rFonts w:hint="eastAsia" w:ascii="Times New Roman" w:hAnsi="Times New Roman" w:eastAsia="仿宋_GB2312" w:cs="Times New Roman"/>
          <w:bCs/>
          <w:sz w:val="32"/>
          <w:szCs w:val="32"/>
          <w:lang w:val="en-US" w:eastAsia="zh-CN"/>
        </w:rPr>
        <w:t>项目财政预算安排资金</w:t>
      </w:r>
      <w:r>
        <w:rPr>
          <w:rFonts w:hint="eastAsia" w:eastAsia="仿宋_GB2312" w:cs="Times New Roman"/>
          <w:bCs/>
          <w:sz w:val="32"/>
          <w:szCs w:val="32"/>
          <w:lang w:val="en-US" w:eastAsia="zh-CN"/>
        </w:rPr>
        <w:t>666</w:t>
      </w:r>
      <w:r>
        <w:rPr>
          <w:rFonts w:hint="eastAsia" w:ascii="Times New Roman" w:hAnsi="Times New Roman" w:eastAsia="仿宋_GB2312" w:cs="Times New Roman"/>
          <w:bCs/>
          <w:sz w:val="32"/>
          <w:szCs w:val="32"/>
          <w:lang w:val="en-US" w:eastAsia="zh-CN"/>
        </w:rPr>
        <w:t>万元，</w:t>
      </w:r>
      <w:bookmarkStart w:id="0" w:name="_GoBack"/>
      <w:bookmarkEnd w:id="0"/>
      <w:r>
        <w:rPr>
          <w:rFonts w:hint="eastAsia" w:ascii="Times New Roman" w:hAnsi="Times New Roman" w:eastAsia="仿宋_GB2312" w:cs="Times New Roman"/>
          <w:bCs/>
          <w:sz w:val="32"/>
          <w:szCs w:val="32"/>
          <w:lang w:val="en-US" w:eastAsia="zh-CN"/>
        </w:rPr>
        <w:t>截止2022年12月31日市财政下拨</w:t>
      </w:r>
      <w:r>
        <w:rPr>
          <w:rFonts w:hint="eastAsia" w:eastAsia="仿宋_GB2312" w:cs="Times New Roman"/>
          <w:bCs/>
          <w:sz w:val="32"/>
          <w:szCs w:val="32"/>
          <w:lang w:val="en-US" w:eastAsia="zh-CN"/>
        </w:rPr>
        <w:t>666</w:t>
      </w:r>
      <w:r>
        <w:rPr>
          <w:rFonts w:hint="eastAsia" w:ascii="Times New Roman" w:hAnsi="Times New Roman" w:eastAsia="仿宋_GB2312" w:cs="Times New Roman"/>
          <w:bCs/>
          <w:sz w:val="32"/>
          <w:szCs w:val="32"/>
          <w:lang w:val="en-US" w:eastAsia="zh-CN"/>
        </w:rPr>
        <w:t>万元，资金到位率100%，根据评分标准，本次得分3分。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（2）预算执行率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2022年</w:t>
      </w:r>
      <w:r>
        <w:rPr>
          <w:rFonts w:hint="eastAsia" w:eastAsia="仿宋_GB2312" w:cs="Times New Roman"/>
          <w:bCs/>
          <w:sz w:val="32"/>
          <w:szCs w:val="32"/>
          <w:lang w:val="en-US" w:eastAsia="zh-CN"/>
        </w:rPr>
        <w:t>医疗保险业务经办能力提升</w:t>
      </w:r>
      <w:r>
        <w:rPr>
          <w:rFonts w:hint="eastAsia" w:ascii="Times New Roman" w:hAnsi="Times New Roman" w:eastAsia="仿宋_GB2312" w:cs="Times New Roman"/>
          <w:bCs/>
          <w:sz w:val="32"/>
          <w:szCs w:val="32"/>
          <w:lang w:val="en-US" w:eastAsia="zh-CN"/>
        </w:rPr>
        <w:t>项目财政预算安排资金</w:t>
      </w:r>
      <w:r>
        <w:rPr>
          <w:rFonts w:hint="eastAsia" w:eastAsia="仿宋_GB2312" w:cs="Times New Roman"/>
          <w:bCs/>
          <w:sz w:val="32"/>
          <w:szCs w:val="32"/>
          <w:lang w:val="en-US" w:eastAsia="zh-CN"/>
        </w:rPr>
        <w:t>666</w:t>
      </w:r>
      <w:r>
        <w:rPr>
          <w:rFonts w:hint="eastAsia" w:ascii="Times New Roman" w:hAnsi="Times New Roman" w:eastAsia="仿宋_GB2312" w:cs="Times New Roman"/>
          <w:bCs/>
          <w:sz w:val="32"/>
          <w:szCs w:val="32"/>
          <w:lang w:val="en-US" w:eastAsia="zh-CN"/>
        </w:rPr>
        <w:t>万元，截止2022年12月31日项目实际支出</w:t>
      </w:r>
      <w:r>
        <w:rPr>
          <w:rFonts w:hint="eastAsia" w:eastAsia="仿宋_GB2312" w:cs="Times New Roman"/>
          <w:bCs/>
          <w:sz w:val="32"/>
          <w:szCs w:val="32"/>
          <w:lang w:val="en-US" w:eastAsia="zh-CN"/>
        </w:rPr>
        <w:t>622.09</w:t>
      </w:r>
      <w:r>
        <w:rPr>
          <w:rFonts w:hint="eastAsia" w:ascii="Times New Roman" w:hAnsi="Times New Roman" w:eastAsia="仿宋_GB2312" w:cs="Times New Roman"/>
          <w:bCs/>
          <w:sz w:val="32"/>
          <w:szCs w:val="32"/>
          <w:lang w:val="en-US" w:eastAsia="zh-CN"/>
        </w:rPr>
        <w:t>万元，资金预算执行率为</w:t>
      </w:r>
      <w:r>
        <w:rPr>
          <w:rFonts w:hint="eastAsia" w:eastAsia="仿宋_GB2312" w:cs="Times New Roman"/>
          <w:bCs/>
          <w:sz w:val="32"/>
          <w:szCs w:val="32"/>
          <w:lang w:val="en-US" w:eastAsia="zh-CN"/>
        </w:rPr>
        <w:t>93.41</w:t>
      </w:r>
      <w:r>
        <w:rPr>
          <w:rFonts w:hint="eastAsia" w:ascii="Times New Roman" w:hAnsi="Times New Roman" w:eastAsia="仿宋_GB2312" w:cs="Times New Roman"/>
          <w:bCs/>
          <w:sz w:val="32"/>
          <w:szCs w:val="32"/>
          <w:lang w:val="en-US" w:eastAsia="zh-CN"/>
        </w:rPr>
        <w:t>%，本次得分</w:t>
      </w:r>
      <w:r>
        <w:rPr>
          <w:rFonts w:hint="eastAsia" w:eastAsia="仿宋_GB2312" w:cs="Times New Roman"/>
          <w:bCs/>
          <w:sz w:val="32"/>
          <w:szCs w:val="32"/>
          <w:lang w:val="en-US" w:eastAsia="zh-CN"/>
        </w:rPr>
        <w:t>3.74</w:t>
      </w:r>
      <w:r>
        <w:rPr>
          <w:rFonts w:hint="eastAsia" w:ascii="Times New Roman" w:hAnsi="Times New Roman" w:eastAsia="仿宋_GB2312" w:cs="Times New Roman"/>
          <w:bCs/>
          <w:sz w:val="32"/>
          <w:szCs w:val="32"/>
          <w:lang w:val="en-US" w:eastAsia="zh-CN"/>
        </w:rPr>
        <w:t>分，扣</w:t>
      </w:r>
      <w:r>
        <w:rPr>
          <w:rFonts w:hint="eastAsia" w:eastAsia="仿宋_GB2312" w:cs="Times New Roman"/>
          <w:bCs/>
          <w:sz w:val="32"/>
          <w:szCs w:val="32"/>
          <w:lang w:val="en-US" w:eastAsia="zh-CN"/>
        </w:rPr>
        <w:t>0.26</w:t>
      </w:r>
      <w:r>
        <w:rPr>
          <w:rFonts w:hint="eastAsia" w:ascii="Times New Roman" w:hAnsi="Times New Roman" w:eastAsia="仿宋_GB2312" w:cs="Times New Roman"/>
          <w:bCs/>
          <w:sz w:val="32"/>
          <w:szCs w:val="32"/>
          <w:lang w:val="en-US" w:eastAsia="zh-CN"/>
        </w:rPr>
        <w:t>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（3）资金使用合规性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该项目资金使用依照财务管理制度执行，资金的拨付有完整的审批程序和手续，且符合项目预算批复或合同规定的用途；在本次评价过程中，对该项目支出涉及的全部凭证进行了核查，未发现截留、挤占、挪用、虚列支出等情况，资金使用合规性较好，本次得分3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2、组织实施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（1）管理制度健全性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依照《行政</w:t>
      </w:r>
      <w:r>
        <w:rPr>
          <w:rFonts w:hint="eastAsia" w:eastAsia="仿宋_GB2312" w:cs="Times New Roman"/>
          <w:bCs/>
          <w:sz w:val="32"/>
          <w:szCs w:val="32"/>
          <w:lang w:val="en-US" w:eastAsia="zh-CN"/>
        </w:rPr>
        <w:t>事业</w:t>
      </w:r>
      <w:r>
        <w:rPr>
          <w:rFonts w:hint="eastAsia" w:ascii="Times New Roman" w:hAnsi="Times New Roman" w:eastAsia="仿宋_GB2312" w:cs="Times New Roman"/>
          <w:bCs/>
          <w:sz w:val="32"/>
          <w:szCs w:val="32"/>
          <w:lang w:val="en-US" w:eastAsia="zh-CN"/>
        </w:rPr>
        <w:t>单位财务制度》、《行政事业单位会计制度》等相关文件内容，设立了相应的财务管理制度和支出管理制度，相关管理制度合法、合规、完整、健全，该指标得分2.5分。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（2）制度执行有效性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在项目执行过程中，项目单位根据本单位制定的《合同管理暂行办法》、《财务管理制度》、《支出管理制度》等系列文件开展工作，项目实施的人员条件、场地设备、信息支撑等均已落实到位，项目实施资料归档齐全，项目支出调整手续完备，该指标得分2.5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（三）项目产出情况</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1、产出数量情况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（1）两定机构准入评估次数3次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南昌市医疗保障服务中心全年完成两定机构准入评估3次。严格落实两定医药机构管理任务，定期组织医药机构准入评估，开展两定医药机构绩效管理评估，推进“互联网+”医保支付相关工作。根据评分标准，产出数量指标本次得2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（2）劳务保障代理人数41人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根据《关于同意2015年南昌市医疗保险事业管理处编外人员工资和社会保险待遇核定办法的批复》文件，聘用劳务保障代理人数达41人，发放劳动保障代理人员相关经费。根据评分标准，产出数量指标本次得1分。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lang w:val="en-US" w:eastAsia="zh-CN"/>
        </w:rPr>
        <w:t>医保信息网络平台运维网点数</w:t>
      </w:r>
      <w:r>
        <w:rPr>
          <w:rFonts w:hint="eastAsia" w:ascii="Times New Roman" w:hAnsi="Times New Roman" w:eastAsia="仿宋_GB2312" w:cs="Times New Roman"/>
          <w:bCs/>
          <w:sz w:val="32"/>
          <w:szCs w:val="32"/>
          <w:lang w:val="en-US" w:eastAsia="zh-CN"/>
        </w:rPr>
        <w:t>385个</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南昌市医疗保障服务中心全年完成</w:t>
      </w:r>
      <w:r>
        <w:rPr>
          <w:rFonts w:hint="default" w:ascii="Times New Roman" w:hAnsi="Times New Roman" w:eastAsia="仿宋_GB2312" w:cs="Times New Roman"/>
          <w:bCs/>
          <w:sz w:val="32"/>
          <w:szCs w:val="32"/>
          <w:lang w:val="en-US" w:eastAsia="zh-CN"/>
        </w:rPr>
        <w:t>医保信息网络平台运维网点数</w:t>
      </w:r>
      <w:r>
        <w:rPr>
          <w:rFonts w:hint="eastAsia" w:ascii="Times New Roman" w:hAnsi="Times New Roman" w:eastAsia="仿宋_GB2312" w:cs="Times New Roman"/>
          <w:bCs/>
          <w:sz w:val="32"/>
          <w:szCs w:val="32"/>
          <w:lang w:val="en-US" w:eastAsia="zh-CN"/>
        </w:rPr>
        <w:t>386个。依托合作银行等网点及两定医药机构等专业优势，推动医疗保障一体化服务中心建设，将服务触角向基层延伸，打造“10分钟医保服务圈”、医保365天“不打烊”和24小时自助服务模式。根据评分标准，产出数量指标本次得2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（4）</w:t>
      </w:r>
      <w:r>
        <w:rPr>
          <w:rFonts w:hint="default" w:ascii="Times New Roman" w:hAnsi="Times New Roman" w:eastAsia="仿宋_GB2312" w:cs="Times New Roman"/>
          <w:bCs/>
          <w:sz w:val="32"/>
          <w:szCs w:val="32"/>
          <w:lang w:val="en-US" w:eastAsia="zh-CN"/>
        </w:rPr>
        <w:t>建设医疗保障一体化服务中心数量</w:t>
      </w:r>
      <w:r>
        <w:rPr>
          <w:rFonts w:hint="eastAsia" w:ascii="Times New Roman" w:hAnsi="Times New Roman" w:eastAsia="仿宋_GB2312" w:cs="Times New Roman"/>
          <w:bCs/>
          <w:sz w:val="32"/>
          <w:szCs w:val="32"/>
          <w:lang w:val="en-US" w:eastAsia="zh-CN"/>
        </w:rPr>
        <w:t>17家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医保一体化服务中心按照一个专区、一个专柜、一个医保专员的“三个一”模式为参保群众提供便捷服务，通过一体化服务，将30项医疗保障政务服务事项“就近办”升级为“就近帮”，让参保群众就近享受到统一、高效、优质、便捷、安全的医疗保障公共服务。截</w:t>
      </w:r>
      <w:r>
        <w:rPr>
          <w:rFonts w:hint="eastAsia" w:eastAsia="仿宋_GB2312" w:cs="Times New Roman"/>
          <w:bCs/>
          <w:sz w:val="32"/>
          <w:szCs w:val="32"/>
          <w:lang w:val="en-US" w:eastAsia="zh-CN"/>
        </w:rPr>
        <w:t>至</w:t>
      </w:r>
      <w:r>
        <w:rPr>
          <w:rFonts w:hint="eastAsia" w:ascii="Times New Roman" w:hAnsi="Times New Roman" w:eastAsia="仿宋_GB2312" w:cs="Times New Roman"/>
          <w:bCs/>
          <w:sz w:val="32"/>
          <w:szCs w:val="32"/>
          <w:lang w:val="en-US" w:eastAsia="zh-CN"/>
        </w:rPr>
        <w:t>目前，已在全市范围内共打造60家医疗保障一体化服务中心。根据评分标准，产出数量指标本次得2分。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（5）残疾人就业保障人数1人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按照《中华人民共和国残疾人保障法》《江西省残疾人保障条例》和江西省残疾人就业办法》、《机关事业单位、国有企业带头安排残疾人就业办法》相关规定，各单位应按本单位在职职工总数</w:t>
      </w:r>
      <w:r>
        <w:rPr>
          <w:rFonts w:hint="eastAsia"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lang w:val="en-US" w:eastAsia="zh-CN"/>
        </w:rPr>
        <w:t>5%的比例安置残疾人就业，安置残疾人就业达不到规定比例的单位，应当按年度差额人数缴纳残疾人就业保障金。根据《关于开展2021年度南昌市用人单位技比例安排开疾人就业审核认定工作的通告》</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2021年在职职工总数为32人，按规定应安置残疾职工0.48人，己安置残疾职工0人，少安置0.48人。因此该年度责单位应缴纳残疾人就业保障金63912.96元</w:t>
      </w:r>
      <w:r>
        <w:rPr>
          <w:rFonts w:hint="eastAsia" w:ascii="Times New Roman" w:hAnsi="Times New Roman" w:eastAsia="仿宋_GB2312" w:cs="Times New Roman"/>
          <w:bCs/>
          <w:sz w:val="32"/>
          <w:szCs w:val="32"/>
          <w:lang w:val="en-US" w:eastAsia="zh-CN"/>
        </w:rPr>
        <w:t>。2022年残疾人就业保障金已足额支付。根据评分标准，产出数量指标本次得1分。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（6）网络信息安全防护设备采购批次2批次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南昌市医疗保障服务中心全年已完成2批次网络信息安全防护设备采购工作，进一步规范医疗保障经办服务工作，防范和化解风险，确保医疗保障基金安全，推动经办服务达到新水平。根据评分标准，产出数量指标本次得2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2、产出质量情况</w:t>
      </w:r>
    </w:p>
    <w:p>
      <w:pPr>
        <w:pStyle w:val="2"/>
        <w:numPr>
          <w:ilvl w:val="0"/>
          <w:numId w:val="0"/>
        </w:numPr>
        <w:spacing w:line="560" w:lineRule="exact"/>
        <w:ind w:firstLine="640" w:firstLineChars="200"/>
        <w:jc w:val="both"/>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通过项目的顺利开展，</w:t>
      </w:r>
      <w:r>
        <w:rPr>
          <w:rFonts w:hint="eastAsia" w:hAnsi="仿宋_GB2312" w:cs="仿宋_GB2312"/>
          <w:kern w:val="2"/>
          <w:sz w:val="32"/>
          <w:szCs w:val="32"/>
          <w:lang w:val="en-US" w:eastAsia="zh-CN" w:bidi="ar-SA"/>
        </w:rPr>
        <w:t>60家医疗保障一体化服务中心建设运营情况良好，残疾人就业保障金按时足额发放，两定机构准入评估工作进展率、劳务保障代理工作执行率、医保信息网络平台运维正常性、网络信息安全防护设备验收合格率均达到100%</w:t>
      </w:r>
      <w:r>
        <w:rPr>
          <w:rFonts w:hint="default"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bCs/>
          <w:sz w:val="32"/>
          <w:szCs w:val="32"/>
          <w:lang w:val="en-US" w:eastAsia="zh-CN"/>
        </w:rPr>
        <w:t>根据评分标准，产出</w:t>
      </w:r>
      <w:r>
        <w:rPr>
          <w:rFonts w:hint="eastAsia" w:ascii="Times New Roman" w:cs="Times New Roman"/>
          <w:bCs/>
          <w:sz w:val="32"/>
          <w:szCs w:val="32"/>
          <w:lang w:val="en-US" w:eastAsia="zh-CN"/>
        </w:rPr>
        <w:t>质量</w:t>
      </w:r>
      <w:r>
        <w:rPr>
          <w:rFonts w:hint="eastAsia" w:ascii="Times New Roman" w:hAnsi="Times New Roman" w:eastAsia="仿宋_GB2312" w:cs="Times New Roman"/>
          <w:bCs/>
          <w:sz w:val="32"/>
          <w:szCs w:val="32"/>
          <w:lang w:val="en-US" w:eastAsia="zh-CN"/>
        </w:rPr>
        <w:t>指标本次得</w:t>
      </w:r>
      <w:r>
        <w:rPr>
          <w:rFonts w:hint="eastAsia" w:ascii="Times New Roman" w:hAnsi="Times New Roman" w:cs="Times New Roman"/>
          <w:bCs/>
          <w:sz w:val="32"/>
          <w:szCs w:val="32"/>
          <w:lang w:val="en-US" w:eastAsia="zh-CN"/>
        </w:rPr>
        <w:t>10</w:t>
      </w:r>
      <w:r>
        <w:rPr>
          <w:rFonts w:hint="eastAsia" w:ascii="Times New Roman" w:hAnsi="Times New Roman" w:eastAsia="仿宋_GB2312" w:cs="Times New Roman"/>
          <w:bCs/>
          <w:sz w:val="32"/>
          <w:szCs w:val="32"/>
          <w:lang w:val="en-US" w:eastAsia="zh-CN"/>
        </w:rPr>
        <w:t>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3、产出时效情况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两定机构准入评估</w:t>
      </w:r>
      <w:r>
        <w:rPr>
          <w:rFonts w:hint="eastAsia" w:eastAsia="仿宋_GB2312" w:cs="Times New Roman"/>
          <w:bCs/>
          <w:sz w:val="32"/>
          <w:szCs w:val="32"/>
          <w:lang w:val="en-US" w:eastAsia="zh-CN"/>
        </w:rPr>
        <w:t>、劳务保障代理、医保信息网络平台运维、医疗保障一体化服务中心建设、残疾人就业保障金发放、网络信息安全防护设备采购等工作</w:t>
      </w:r>
      <w:r>
        <w:rPr>
          <w:rFonts w:hint="eastAsia" w:ascii="Times New Roman" w:hAnsi="Times New Roman" w:eastAsia="仿宋_GB2312" w:cs="Times New Roman"/>
          <w:bCs/>
          <w:sz w:val="32"/>
          <w:szCs w:val="32"/>
          <w:lang w:val="en-US" w:eastAsia="zh-CN"/>
        </w:rPr>
        <w:t>均在2022年12月31日之前完成</w:t>
      </w:r>
      <w:r>
        <w:rPr>
          <w:rFonts w:hint="eastAsia" w:eastAsia="仿宋_GB2312" w:cs="Times New Roman"/>
          <w:bCs/>
          <w:sz w:val="32"/>
          <w:szCs w:val="32"/>
          <w:lang w:val="en-US" w:eastAsia="zh-CN"/>
        </w:rPr>
        <w:t>，两定机构准入评估工作完成及时率、劳务保障代理工作完成及时率、医保信息网络平台运维工作完成及时率、医疗保障一体化服务中心建设完成及时率残疾人就业保障金发放及时率、网络信息安全防护设备采购完成及时率均达到100%</w:t>
      </w:r>
      <w:r>
        <w:rPr>
          <w:rFonts w:hint="eastAsia" w:ascii="Times New Roman" w:hAnsi="Times New Roman" w:eastAsia="仿宋_GB2312" w:cs="Times New Roman"/>
          <w:bCs/>
          <w:sz w:val="32"/>
          <w:szCs w:val="32"/>
          <w:lang w:val="en-US" w:eastAsia="zh-CN"/>
        </w:rPr>
        <w:t>。根据评分标准，产出</w:t>
      </w:r>
      <w:r>
        <w:rPr>
          <w:rFonts w:hint="eastAsia" w:eastAsia="仿宋_GB2312" w:cs="Times New Roman"/>
          <w:bCs/>
          <w:sz w:val="32"/>
          <w:szCs w:val="32"/>
          <w:lang w:val="en-US" w:eastAsia="zh-CN"/>
        </w:rPr>
        <w:t>时效</w:t>
      </w:r>
      <w:r>
        <w:rPr>
          <w:rFonts w:hint="eastAsia" w:ascii="Times New Roman" w:hAnsi="Times New Roman" w:eastAsia="仿宋_GB2312" w:cs="Times New Roman"/>
          <w:bCs/>
          <w:sz w:val="32"/>
          <w:szCs w:val="32"/>
          <w:lang w:val="en-US" w:eastAsia="zh-CN"/>
        </w:rPr>
        <w:t>指标本次得</w:t>
      </w:r>
      <w:r>
        <w:rPr>
          <w:rFonts w:hint="eastAsia" w:ascii="Times New Roman" w:hAnsi="Times New Roman" w:cs="Times New Roman"/>
          <w:bCs/>
          <w:sz w:val="32"/>
          <w:szCs w:val="32"/>
          <w:lang w:val="en-US" w:eastAsia="zh-CN"/>
        </w:rPr>
        <w:t>10</w:t>
      </w:r>
      <w:r>
        <w:rPr>
          <w:rFonts w:hint="eastAsia" w:ascii="Times New Roman" w:hAnsi="Times New Roman" w:eastAsia="仿宋_GB2312" w:cs="Times New Roman"/>
          <w:bCs/>
          <w:sz w:val="32"/>
          <w:szCs w:val="32"/>
          <w:lang w:val="en-US" w:eastAsia="zh-CN"/>
        </w:rPr>
        <w:t>分。</w:t>
      </w:r>
    </w:p>
    <w:p>
      <w:pPr>
        <w:numPr>
          <w:ilvl w:val="0"/>
          <w:numId w:val="1"/>
        </w:num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产出成本情况</w:t>
      </w:r>
    </w:p>
    <w:p>
      <w:pPr>
        <w:pStyle w:val="2"/>
        <w:numPr>
          <w:ilvl w:val="0"/>
          <w:numId w:val="0"/>
        </w:numPr>
        <w:ind w:firstLine="640" w:firstLineChars="200"/>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在本项目开展过程中，严格控制成本支出，尽量做到节约成本，本年度预算下达</w:t>
      </w:r>
      <w:r>
        <w:rPr>
          <w:rFonts w:hint="eastAsia" w:ascii="Times New Roman" w:cs="Times New Roman"/>
          <w:bCs/>
          <w:kern w:val="2"/>
          <w:sz w:val="32"/>
          <w:szCs w:val="32"/>
          <w:lang w:val="en-US" w:eastAsia="zh-CN" w:bidi="ar-SA"/>
        </w:rPr>
        <w:t>666</w:t>
      </w:r>
      <w:r>
        <w:rPr>
          <w:rFonts w:hint="default" w:ascii="Times New Roman" w:hAnsi="Times New Roman" w:eastAsia="仿宋_GB2312" w:cs="Times New Roman"/>
          <w:bCs/>
          <w:kern w:val="2"/>
          <w:sz w:val="32"/>
          <w:szCs w:val="32"/>
          <w:lang w:val="en-US" w:eastAsia="zh-CN" w:bidi="ar-SA"/>
        </w:rPr>
        <w:t>万元，实际支出</w:t>
      </w:r>
      <w:r>
        <w:rPr>
          <w:rFonts w:hint="eastAsia" w:ascii="Times New Roman" w:cs="Times New Roman"/>
          <w:bCs/>
          <w:kern w:val="2"/>
          <w:sz w:val="32"/>
          <w:szCs w:val="32"/>
          <w:lang w:val="en-US" w:eastAsia="zh-CN" w:bidi="ar-SA"/>
        </w:rPr>
        <w:t>622.09</w:t>
      </w:r>
      <w:r>
        <w:rPr>
          <w:rFonts w:hint="default" w:ascii="Times New Roman" w:hAnsi="Times New Roman" w:eastAsia="仿宋_GB2312" w:cs="Times New Roman"/>
          <w:bCs/>
          <w:kern w:val="2"/>
          <w:sz w:val="32"/>
          <w:szCs w:val="32"/>
          <w:lang w:val="en-US" w:eastAsia="zh-CN" w:bidi="ar-SA"/>
        </w:rPr>
        <w:t>万元，项目预算资金处于预算资金范围内，未超出预算范围，故该单位预算资金成本控制较好，</w:t>
      </w:r>
      <w:r>
        <w:rPr>
          <w:rFonts w:hint="eastAsia" w:hAnsi="仿宋_GB2312" w:cs="仿宋_GB2312"/>
          <w:kern w:val="2"/>
          <w:sz w:val="32"/>
          <w:szCs w:val="32"/>
          <w:lang w:val="en-US" w:eastAsia="zh-CN" w:bidi="ar-SA"/>
        </w:rPr>
        <w:t>两定机构准入评估工作成本控制率、劳务保障代理工作成本控制率、医保信息网络平台运维工作成本控制率、医疗保障一体化服务中心建设成本控制率、残疾人就业保障金发放成本控制率、网络信息安全防护设备采购成本控制率</w:t>
      </w:r>
      <w:r>
        <w:rPr>
          <w:rFonts w:hint="default" w:ascii="Times New Roman" w:hAnsi="Times New Roman" w:eastAsia="仿宋_GB2312" w:cs="Times New Roman"/>
          <w:bCs/>
          <w:kern w:val="2"/>
          <w:sz w:val="32"/>
          <w:szCs w:val="32"/>
          <w:lang w:val="en-US" w:eastAsia="zh-CN" w:bidi="ar-SA"/>
        </w:rPr>
        <w:t>均达到100%。</w:t>
      </w:r>
      <w:r>
        <w:rPr>
          <w:rFonts w:hint="eastAsia" w:ascii="Times New Roman" w:hAnsi="Times New Roman" w:eastAsia="仿宋_GB2312" w:cs="Times New Roman"/>
          <w:bCs/>
          <w:sz w:val="32"/>
          <w:szCs w:val="32"/>
          <w:lang w:val="en-US" w:eastAsia="zh-CN"/>
        </w:rPr>
        <w:t>根据评分标准，产出</w:t>
      </w:r>
      <w:r>
        <w:rPr>
          <w:rFonts w:hint="eastAsia" w:ascii="Times New Roman" w:cs="Times New Roman"/>
          <w:bCs/>
          <w:sz w:val="32"/>
          <w:szCs w:val="32"/>
          <w:lang w:val="en-US" w:eastAsia="zh-CN"/>
        </w:rPr>
        <w:t>成本</w:t>
      </w:r>
      <w:r>
        <w:rPr>
          <w:rFonts w:hint="eastAsia" w:ascii="Times New Roman" w:hAnsi="Times New Roman" w:eastAsia="仿宋_GB2312" w:cs="Times New Roman"/>
          <w:bCs/>
          <w:sz w:val="32"/>
          <w:szCs w:val="32"/>
          <w:lang w:val="en-US" w:eastAsia="zh-CN"/>
        </w:rPr>
        <w:t>指标本次得</w:t>
      </w:r>
      <w:r>
        <w:rPr>
          <w:rFonts w:hint="eastAsia" w:ascii="Times New Roman" w:hAnsi="Times New Roman" w:cs="Times New Roman"/>
          <w:bCs/>
          <w:sz w:val="32"/>
          <w:szCs w:val="32"/>
          <w:lang w:val="en-US" w:eastAsia="zh-CN"/>
        </w:rPr>
        <w:t>5</w:t>
      </w:r>
      <w:r>
        <w:rPr>
          <w:rFonts w:hint="eastAsia" w:ascii="Times New Roman" w:hAnsi="Times New Roman" w:eastAsia="仿宋_GB2312" w:cs="Times New Roman"/>
          <w:bCs/>
          <w:sz w:val="32"/>
          <w:szCs w:val="32"/>
          <w:lang w:val="en-US" w:eastAsia="zh-CN"/>
        </w:rPr>
        <w:t>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（四）项目效益情况</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1、社会效益情况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仿宋_GB2312" w:hAnsi="仿宋" w:eastAsia="仿宋_GB2312" w:cs="仿宋"/>
          <w:sz w:val="32"/>
          <w:szCs w:val="32"/>
        </w:rPr>
        <w:t>在市医疗保障局领导下，坚持以习近平新时代中国特色社会主义思想为指导，</w:t>
      </w:r>
      <w:r>
        <w:rPr>
          <w:rFonts w:hint="eastAsia" w:ascii="仿宋_GB2312" w:hAnsi="仿宋_GB2312" w:eastAsia="仿宋_GB2312" w:cs="仿宋_GB2312"/>
          <w:sz w:val="32"/>
          <w:szCs w:val="32"/>
        </w:rPr>
        <w:t>全面贯彻落实市委、市政府和省医保局决策部署，</w:t>
      </w:r>
      <w:r>
        <w:rPr>
          <w:rFonts w:hint="eastAsia" w:ascii="仿宋_GB2312" w:hAnsi="仿宋" w:eastAsia="仿宋_GB2312" w:cs="仿宋"/>
          <w:sz w:val="32"/>
          <w:szCs w:val="32"/>
        </w:rPr>
        <w:t>坚定履行医保部门的职责使命，不断提升医疗保障服务水平，</w:t>
      </w:r>
      <w:r>
        <w:rPr>
          <w:rFonts w:hint="eastAsia" w:ascii="仿宋_GB2312" w:hAnsi="仿宋" w:eastAsia="仿宋_GB2312" w:cs="仿宋"/>
          <w:sz w:val="32"/>
          <w:szCs w:val="32"/>
          <w:lang w:eastAsia="zh-CN"/>
        </w:rPr>
        <w:t>为参保用户提供优质的服务，</w:t>
      </w:r>
      <w:r>
        <w:rPr>
          <w:rFonts w:hint="eastAsia" w:ascii="仿宋_GB2312" w:hAnsi="仿宋" w:eastAsia="仿宋_GB2312" w:cs="仿宋"/>
          <w:sz w:val="32"/>
          <w:szCs w:val="32"/>
        </w:rPr>
        <w:t>减轻参保群众就医负担</w:t>
      </w:r>
      <w:r>
        <w:rPr>
          <w:rFonts w:hint="eastAsia" w:ascii="仿宋_GB2312" w:hAnsi="仿宋" w:eastAsia="仿宋_GB2312" w:cs="仿宋"/>
          <w:sz w:val="32"/>
          <w:szCs w:val="32"/>
          <w:lang w:eastAsia="zh-CN"/>
        </w:rPr>
        <w:t>，提高医保业务的日常工作效率。</w:t>
      </w:r>
      <w:r>
        <w:rPr>
          <w:rFonts w:hint="eastAsia" w:ascii="Times New Roman" w:hAnsi="Times New Roman" w:eastAsia="仿宋_GB2312" w:cs="Times New Roman"/>
          <w:bCs/>
          <w:sz w:val="32"/>
          <w:szCs w:val="32"/>
          <w:lang w:val="en-US" w:eastAsia="zh-CN"/>
        </w:rPr>
        <w:t>本年度达到年初既定目标，得25分。</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（五）项目满意度情况</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1.满意度情况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2022年在全体职工的共同努力下，经对参保人员进行满意度问卷调查，得出参保人员满意度达到95%，满意度较高，达到了预计目标，经考核，该指标得10分。</w:t>
      </w:r>
    </w:p>
    <w:p>
      <w:pPr>
        <w:spacing w:line="600" w:lineRule="exact"/>
        <w:ind w:firstLine="640" w:firstLineChars="200"/>
        <w:rPr>
          <w:rFonts w:hint="eastAsia" w:ascii="黑体" w:hAnsi="黑体" w:eastAsia="黑体" w:cs="Times New Roman"/>
          <w:color w:val="000000"/>
          <w:sz w:val="32"/>
          <w:szCs w:val="32"/>
          <w:lang w:val="en-US" w:eastAsia="zh-CN"/>
        </w:rPr>
      </w:pPr>
      <w:r>
        <w:rPr>
          <w:rFonts w:hint="eastAsia" w:ascii="黑体" w:hAnsi="黑体" w:eastAsia="黑体" w:cs="Times New Roman"/>
          <w:color w:val="000000"/>
          <w:sz w:val="32"/>
          <w:szCs w:val="32"/>
          <w:lang w:val="en-US" w:eastAsia="zh-CN"/>
        </w:rPr>
        <w:t>五、主要经验及做法、存在的问题及原因分析</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（一）主要经验及做法</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1、坚持“先规划、再行动”，以规划任务目标统领全盘工作。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在</w:t>
      </w:r>
      <w:r>
        <w:rPr>
          <w:rFonts w:hint="eastAsia" w:eastAsia="仿宋_GB2312" w:cs="Times New Roman"/>
          <w:bCs/>
          <w:sz w:val="32"/>
          <w:szCs w:val="32"/>
          <w:lang w:val="en-US" w:eastAsia="zh-CN"/>
        </w:rPr>
        <w:t>医疗保险业务经办能力提升</w:t>
      </w:r>
      <w:r>
        <w:rPr>
          <w:rFonts w:hint="eastAsia" w:ascii="Times New Roman" w:hAnsi="Times New Roman" w:eastAsia="仿宋_GB2312" w:cs="Times New Roman"/>
          <w:bCs/>
          <w:sz w:val="32"/>
          <w:szCs w:val="32"/>
          <w:lang w:val="en-US" w:eastAsia="zh-CN"/>
        </w:rPr>
        <w:t>项目实施工作开展之前，</w:t>
      </w:r>
      <w:r>
        <w:rPr>
          <w:rFonts w:hint="eastAsia" w:eastAsia="仿宋_GB2312" w:cs="Times New Roman"/>
          <w:bCs/>
          <w:sz w:val="32"/>
          <w:szCs w:val="32"/>
          <w:lang w:val="en-US" w:eastAsia="zh-CN"/>
        </w:rPr>
        <w:t>南昌市医保保障服务中心</w:t>
      </w:r>
      <w:r>
        <w:rPr>
          <w:rFonts w:hint="eastAsia" w:ascii="Times New Roman" w:hAnsi="Times New Roman" w:eastAsia="仿宋_GB2312" w:cs="Times New Roman"/>
          <w:bCs/>
          <w:sz w:val="32"/>
          <w:szCs w:val="32"/>
          <w:lang w:val="en-US" w:eastAsia="zh-CN"/>
        </w:rPr>
        <w:t>就着手调查研究，从项目政策符合性、落地可行性等方面对项目进行筛选，初步确定</w:t>
      </w:r>
      <w:r>
        <w:rPr>
          <w:rFonts w:hint="eastAsia" w:eastAsia="仿宋_GB2312" w:cs="Times New Roman"/>
          <w:bCs/>
          <w:sz w:val="32"/>
          <w:szCs w:val="32"/>
          <w:lang w:val="en-US" w:eastAsia="zh-CN"/>
        </w:rPr>
        <w:t>医疗保险业务经办能力提升</w:t>
      </w:r>
      <w:r>
        <w:rPr>
          <w:rFonts w:hint="eastAsia" w:ascii="Times New Roman" w:hAnsi="Times New Roman" w:eastAsia="仿宋_GB2312" w:cs="Times New Roman"/>
          <w:bCs/>
          <w:sz w:val="32"/>
          <w:szCs w:val="32"/>
          <w:lang w:val="en-US" w:eastAsia="zh-CN"/>
        </w:rPr>
        <w:t>项目规划实施目标。</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2、强化前期工作，为项目实施奠定基础。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在</w:t>
      </w:r>
      <w:r>
        <w:rPr>
          <w:rFonts w:hint="eastAsia" w:eastAsia="仿宋_GB2312" w:cs="Times New Roman"/>
          <w:bCs/>
          <w:sz w:val="32"/>
          <w:szCs w:val="32"/>
          <w:lang w:val="en-US" w:eastAsia="zh-CN"/>
        </w:rPr>
        <w:t>医疗保险业务经办能力提升</w:t>
      </w:r>
      <w:r>
        <w:rPr>
          <w:rFonts w:hint="eastAsia" w:ascii="Times New Roman" w:hAnsi="Times New Roman" w:eastAsia="仿宋_GB2312" w:cs="Times New Roman"/>
          <w:bCs/>
          <w:sz w:val="32"/>
          <w:szCs w:val="32"/>
          <w:lang w:val="en-US" w:eastAsia="zh-CN"/>
        </w:rPr>
        <w:t>项目实施前期工作中，组织专家、相关技术人员进行现场调查，再次对项目各方面指标进行判定，再次确定项目规划目标可达性。</w:t>
      </w:r>
    </w:p>
    <w:p>
      <w:pPr>
        <w:spacing w:line="600" w:lineRule="exact"/>
        <w:ind w:firstLine="643" w:firstLineChars="200"/>
        <w:outlineLvl w:val="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（二）存在的问题及原因分析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医疗保险业务工作经费项目与医疗保险业务经办能力提升项目的资金执行率均未达到100%，主要原因为：单位厉行节约，导致项目资金略有结余。</w:t>
      </w:r>
    </w:p>
    <w:p>
      <w:pPr>
        <w:spacing w:line="600" w:lineRule="exact"/>
        <w:ind w:firstLine="640" w:firstLineChars="200"/>
        <w:rPr>
          <w:rFonts w:hint="eastAsia" w:ascii="黑体" w:hAnsi="黑体" w:eastAsia="黑体" w:cs="Times New Roman"/>
          <w:color w:val="000000"/>
          <w:sz w:val="32"/>
          <w:szCs w:val="32"/>
          <w:lang w:val="en-US" w:eastAsia="zh-CN"/>
        </w:rPr>
      </w:pPr>
      <w:r>
        <w:rPr>
          <w:rFonts w:hint="eastAsia" w:ascii="黑体" w:hAnsi="黑体" w:eastAsia="黑体" w:cs="Times New Roman"/>
          <w:color w:val="000000"/>
          <w:sz w:val="32"/>
          <w:szCs w:val="32"/>
          <w:lang w:val="en-US" w:eastAsia="zh-CN"/>
        </w:rPr>
        <w:t>六、有关建议</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在今后工作中我局将进一步加强预算编制及绩效申报编制能力，合理制定预算支出计划方案，在使用资金过程中加强对项目资金的管理及监控，推动资金的有效执行。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Times New Roman"/>
          <w:color w:val="000000"/>
          <w:sz w:val="32"/>
          <w:szCs w:val="32"/>
          <w:lang w:val="en-US" w:eastAsia="zh-CN"/>
        </w:rPr>
      </w:pPr>
      <w:r>
        <w:rPr>
          <w:rFonts w:hint="eastAsia" w:ascii="黑体" w:hAnsi="黑体" w:eastAsia="黑体" w:cs="Times New Roman"/>
          <w:color w:val="000000"/>
          <w:sz w:val="32"/>
          <w:szCs w:val="32"/>
          <w:lang w:val="en-US" w:eastAsia="zh-CN"/>
        </w:rPr>
        <w:t>七、其他需要说明的问题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黑体" w:eastAsia="黑体"/>
          <w:color w:val="000000"/>
          <w:sz w:val="18"/>
          <w:szCs w:val="18"/>
          <w:lang w:val="en-US"/>
        </w:rPr>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pPr>
      <w:r>
        <w:rPr>
          <w:rFonts w:hint="eastAsia" w:ascii="仿宋_GB2312" w:hAnsi="Calibri" w:eastAsia="仿宋_GB2312" w:cs="Times New Roman"/>
          <w:kern w:val="2"/>
          <w:sz w:val="32"/>
          <w:szCs w:val="32"/>
          <w:highlight w:val="none"/>
          <w:lang w:val="en-US" w:eastAsia="zh-CN" w:bidi="ar-SA"/>
        </w:rPr>
        <w:t>无。</w:t>
      </w:r>
    </w:p>
    <w:p>
      <w:pPr>
        <w:jc w:val="center"/>
        <w:rPr>
          <w:rFonts w:hint="eastAsia" w:ascii="方正小标宋简体" w:hAnsi="宋体" w:eastAsia="方正小标宋简体" w:cs="Arial"/>
          <w:bCs/>
          <w:color w:val="000000"/>
          <w:spacing w:val="0"/>
          <w:sz w:val="44"/>
          <w:szCs w:val="44"/>
        </w:rPr>
      </w:pPr>
      <w:r>
        <w:rPr>
          <w:rFonts w:hint="eastAsia" w:ascii="方正小标宋简体" w:hAnsi="宋体" w:eastAsia="方正小标宋简体" w:cs="Arial"/>
          <w:bCs/>
          <w:color w:val="000000"/>
          <w:spacing w:val="0"/>
          <w:sz w:val="44"/>
          <w:szCs w:val="44"/>
          <w:lang w:eastAsia="zh-CN"/>
        </w:rPr>
        <w:t>医疗保险业务经办能力提升</w:t>
      </w:r>
      <w:r>
        <w:rPr>
          <w:rFonts w:hint="eastAsia" w:ascii="方正小标宋简体" w:hAnsi="宋体" w:eastAsia="方正小标宋简体" w:cs="Arial"/>
          <w:bCs/>
          <w:color w:val="000000"/>
          <w:spacing w:val="0"/>
          <w:sz w:val="44"/>
          <w:szCs w:val="44"/>
        </w:rPr>
        <w:t>项目支出绩效评分表</w:t>
      </w:r>
    </w:p>
    <w:tbl>
      <w:tblPr>
        <w:tblStyle w:val="6"/>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1353"/>
        <w:gridCol w:w="2432"/>
        <w:gridCol w:w="805"/>
        <w:gridCol w:w="3683"/>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409"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一级</w:t>
            </w:r>
          </w:p>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指标</w:t>
            </w:r>
          </w:p>
        </w:tc>
        <w:tc>
          <w:tcPr>
            <w:tcW w:w="689"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二级指标</w:t>
            </w:r>
          </w:p>
        </w:tc>
        <w:tc>
          <w:tcPr>
            <w:tcW w:w="1238"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三级指标</w:t>
            </w:r>
          </w:p>
        </w:tc>
        <w:tc>
          <w:tcPr>
            <w:tcW w:w="410"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分值权重</w:t>
            </w:r>
          </w:p>
        </w:tc>
        <w:tc>
          <w:tcPr>
            <w:tcW w:w="1872" w:type="pct"/>
            <w:noWrap w:val="0"/>
            <w:vAlign w:val="center"/>
          </w:tcPr>
          <w:p>
            <w:pPr>
              <w:widowControl/>
              <w:jc w:val="center"/>
              <w:rPr>
                <w:rFonts w:hint="eastAsia" w:ascii="黑体" w:hAnsi="黑体" w:eastAsia="黑体" w:cs="黑体"/>
                <w:b w:val="0"/>
                <w:bCs/>
                <w:color w:val="000000"/>
                <w:kern w:val="0"/>
                <w:sz w:val="21"/>
                <w:szCs w:val="21"/>
              </w:rPr>
            </w:pPr>
            <w:r>
              <w:rPr>
                <w:rFonts w:hint="eastAsia" w:ascii="黑体" w:hAnsi="黑体" w:eastAsia="黑体" w:cs="黑体"/>
                <w:b w:val="0"/>
                <w:bCs/>
                <w:color w:val="000000"/>
                <w:kern w:val="0"/>
                <w:sz w:val="21"/>
                <w:szCs w:val="21"/>
              </w:rPr>
              <w:t>评分标准</w:t>
            </w:r>
          </w:p>
        </w:tc>
        <w:tc>
          <w:tcPr>
            <w:tcW w:w="378" w:type="pct"/>
            <w:noWrap w:val="0"/>
            <w:vAlign w:val="center"/>
          </w:tcPr>
          <w:p>
            <w:pPr>
              <w:widowControl/>
              <w:jc w:val="center"/>
              <w:rPr>
                <w:rFonts w:hint="default" w:ascii="黑体" w:hAnsi="黑体" w:eastAsia="黑体" w:cs="黑体"/>
                <w:b w:val="0"/>
                <w:bCs/>
                <w:color w:val="000000"/>
                <w:kern w:val="0"/>
                <w:sz w:val="21"/>
                <w:szCs w:val="21"/>
                <w:lang w:val="en-US" w:eastAsia="zh-CN"/>
              </w:rPr>
            </w:pPr>
            <w:r>
              <w:rPr>
                <w:rFonts w:hint="eastAsia" w:ascii="黑体" w:hAnsi="黑体" w:eastAsia="黑体" w:cs="黑体"/>
                <w:b w:val="0"/>
                <w:bCs/>
                <w:color w:val="000000"/>
                <w:kern w:val="0"/>
                <w:sz w:val="21"/>
                <w:szCs w:val="21"/>
                <w:lang w:val="en-US" w:eastAsia="zh-CN"/>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40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决策</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（1</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　</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tc>
        <w:tc>
          <w:tcPr>
            <w:tcW w:w="68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项目立项</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p>
        </w:tc>
        <w:tc>
          <w:tcPr>
            <w:tcW w:w="123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立项依据</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充分性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.5</w:t>
            </w:r>
          </w:p>
        </w:tc>
        <w:tc>
          <w:tcPr>
            <w:tcW w:w="1872"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①项目立项符合国家法律法规和相关政策，得1分，不符合不得分；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②项目立项与部门职责范围相符，属于部门履职所需，得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.5分，不符合不得分。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23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立项程</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规范性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0"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c>
          <w:tcPr>
            <w:tcW w:w="1872"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①项目按照规定的程序申请设立，得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②审批文件、材料符合相关要求，得</w:t>
            </w:r>
            <w:r>
              <w:rPr>
                <w:rFonts w:hint="eastAsia" w:ascii="黑体" w:hAnsi="黑体" w:eastAsia="黑体" w:cs="黑体"/>
                <w:bCs/>
                <w:color w:val="000000"/>
                <w:kern w:val="0"/>
                <w:sz w:val="21"/>
                <w:szCs w:val="21"/>
                <w:lang w:val="en-US" w:eastAsia="zh-CN"/>
              </w:rPr>
              <w:t>1.5</w:t>
            </w:r>
            <w:r>
              <w:rPr>
                <w:rFonts w:hint="eastAsia" w:ascii="黑体" w:hAnsi="黑体" w:eastAsia="黑体" w:cs="黑体"/>
                <w:bCs/>
                <w:color w:val="000000"/>
                <w:kern w:val="0"/>
                <w:sz w:val="21"/>
                <w:szCs w:val="21"/>
              </w:rPr>
              <w:t>分，不符合不得分。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绩效目标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r>
              <w:rPr>
                <w:rFonts w:hint="eastAsia" w:ascii="黑体" w:hAnsi="黑体" w:eastAsia="黑体" w:cs="黑体"/>
                <w:bCs/>
                <w:color w:val="000000"/>
                <w:kern w:val="0"/>
                <w:sz w:val="21"/>
                <w:szCs w:val="21"/>
              </w:rPr>
              <w:t>　</w:t>
            </w:r>
          </w:p>
        </w:tc>
        <w:tc>
          <w:tcPr>
            <w:tcW w:w="123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绩效目标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0"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2.5</w:t>
            </w:r>
          </w:p>
        </w:tc>
        <w:tc>
          <w:tcPr>
            <w:tcW w:w="1872"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①项目有绩效目标，得1.5分，不符合不得分；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②项目绩效目标与实际工作内容具有相关性，得1分，不符合不得分。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23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绩效指标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明确性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0"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2.5</w:t>
            </w:r>
          </w:p>
          <w:p>
            <w:pPr>
              <w:pStyle w:val="9"/>
              <w:rPr>
                <w:rFonts w:hint="eastAsia"/>
                <w:lang w:eastAsia="zh-CN"/>
              </w:rPr>
            </w:pPr>
          </w:p>
        </w:tc>
        <w:tc>
          <w:tcPr>
            <w:tcW w:w="1872"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①将项目绩效目标细化分解为具体的绩效指标，得1.5分，不符合不得分；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②与项目目标任务数或计划数相对应，得1分，不符合不得分。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资金投入</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p>
        </w:tc>
        <w:tc>
          <w:tcPr>
            <w:tcW w:w="123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预算编制</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科学性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0" w:type="pct"/>
            <w:noWrap w:val="0"/>
            <w:vAlign w:val="center"/>
          </w:tcPr>
          <w:p>
            <w:pPr>
              <w:widowControl/>
              <w:jc w:val="center"/>
              <w:rPr>
                <w:rFonts w:hint="eastAsia" w:ascii="黑体" w:hAnsi="黑体" w:eastAsia="黑体" w:cs="黑体"/>
                <w:bCs/>
                <w:color w:val="000000"/>
                <w:kern w:val="0"/>
                <w:sz w:val="21"/>
                <w:szCs w:val="21"/>
                <w:lang w:val="en-US"/>
              </w:rPr>
            </w:pPr>
            <w:r>
              <w:rPr>
                <w:rFonts w:hint="eastAsia" w:ascii="黑体" w:hAnsi="黑体" w:eastAsia="黑体" w:cs="黑体"/>
                <w:bCs/>
                <w:color w:val="000000"/>
                <w:kern w:val="0"/>
                <w:sz w:val="21"/>
                <w:szCs w:val="21"/>
                <w:lang w:val="en-US" w:eastAsia="zh-CN"/>
              </w:rPr>
              <w:t>2.5</w:t>
            </w:r>
          </w:p>
        </w:tc>
        <w:tc>
          <w:tcPr>
            <w:tcW w:w="187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①预算内容与项目内容匹配，得1分，不符合不得分；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②预算确定的项目投资额或资金量与工作任务相匹配，得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.5分，不符合不得分。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23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资金分配</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合理性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0"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c>
          <w:tcPr>
            <w:tcW w:w="1872"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①预算资金分配依据充分，得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②资金分配额度合理，得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.5分，不符合不得分。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40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过程</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15</w:t>
            </w:r>
            <w:r>
              <w:rPr>
                <w:rFonts w:hint="eastAsia" w:ascii="黑体" w:hAnsi="黑体" w:eastAsia="黑体" w:cs="黑体"/>
                <w:bCs/>
                <w:color w:val="000000"/>
                <w:kern w:val="0"/>
                <w:sz w:val="21"/>
                <w:szCs w:val="21"/>
              </w:rPr>
              <w:t>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w:t>
            </w:r>
          </w:p>
        </w:tc>
        <w:tc>
          <w:tcPr>
            <w:tcW w:w="68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资金管理</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123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资金到位率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3分）</w:t>
            </w:r>
          </w:p>
        </w:tc>
        <w:tc>
          <w:tcPr>
            <w:tcW w:w="410"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3</w:t>
            </w:r>
          </w:p>
        </w:tc>
        <w:tc>
          <w:tcPr>
            <w:tcW w:w="187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资金到位率=（实际到位资金/预算资金）×100%。90%-100%得</w:t>
            </w:r>
            <w:r>
              <w:rPr>
                <w:rFonts w:hint="eastAsia" w:ascii="黑体" w:hAnsi="黑体" w:eastAsia="黑体" w:cs="黑体"/>
                <w:bCs/>
                <w:color w:val="000000"/>
                <w:kern w:val="0"/>
                <w:sz w:val="21"/>
                <w:szCs w:val="21"/>
                <w:lang w:val="en-US" w:eastAsia="zh-CN"/>
              </w:rPr>
              <w:t>3</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rPr>
              <w:t>80%-89%得</w:t>
            </w: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分；60%-79%得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分；60%以下，不得分。</w:t>
            </w:r>
          </w:p>
        </w:tc>
        <w:tc>
          <w:tcPr>
            <w:tcW w:w="37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23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预算执行率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4分）</w:t>
            </w:r>
          </w:p>
        </w:tc>
        <w:tc>
          <w:tcPr>
            <w:tcW w:w="410"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4</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rPr>
              <w:t>预算执行率=（实际支出资金/实际到位资金）×100%</w:t>
            </w: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得分=预算执行率</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分值。</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23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资金使用</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合规性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3分）</w:t>
            </w:r>
          </w:p>
        </w:tc>
        <w:tc>
          <w:tcPr>
            <w:tcW w:w="410"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3</w:t>
            </w:r>
          </w:p>
        </w:tc>
        <w:tc>
          <w:tcPr>
            <w:tcW w:w="1872"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①符合国家财经法规和财务管理制度以及有关专项资金管理办法的规定，得1</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②资金的拨付有完整的审批程序和手续，得1</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分，不符合不得分。</w:t>
            </w:r>
          </w:p>
        </w:tc>
        <w:tc>
          <w:tcPr>
            <w:tcW w:w="37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组织实施</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5分）</w:t>
            </w:r>
            <w:r>
              <w:rPr>
                <w:rFonts w:hint="eastAsia" w:ascii="黑体" w:hAnsi="黑体" w:eastAsia="黑体" w:cs="黑体"/>
                <w:bCs/>
                <w:color w:val="000000"/>
                <w:kern w:val="0"/>
                <w:sz w:val="21"/>
                <w:szCs w:val="21"/>
              </w:rPr>
              <w:t>　</w:t>
            </w:r>
          </w:p>
        </w:tc>
        <w:tc>
          <w:tcPr>
            <w:tcW w:w="123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管理制度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健全性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0"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2.5</w:t>
            </w:r>
          </w:p>
        </w:tc>
        <w:tc>
          <w:tcPr>
            <w:tcW w:w="1872"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rPr>
              <w:t>①已制定或具有相应的财务和业务管理制度，得</w:t>
            </w:r>
            <w:r>
              <w:rPr>
                <w:rFonts w:hint="eastAsia" w:ascii="黑体" w:hAnsi="黑体" w:eastAsia="黑体" w:cs="黑体"/>
                <w:bCs/>
                <w:color w:val="000000"/>
                <w:kern w:val="0"/>
                <w:sz w:val="21"/>
                <w:szCs w:val="21"/>
                <w:lang w:val="en-US" w:eastAsia="zh-CN"/>
              </w:rPr>
              <w:t>1.5</w:t>
            </w:r>
            <w:r>
              <w:rPr>
                <w:rFonts w:hint="eastAsia" w:ascii="黑体" w:hAnsi="黑体" w:eastAsia="黑体" w:cs="黑体"/>
                <w:bCs/>
                <w:color w:val="000000"/>
                <w:kern w:val="0"/>
                <w:sz w:val="21"/>
                <w:szCs w:val="21"/>
              </w:rPr>
              <w:t>分，不符合不得分；</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②财务和业务管理制度合法、合规、完整，得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分，不符合不得分。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1238"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制度执行</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有效性</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0" w:type="pct"/>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2.5</w:t>
            </w:r>
          </w:p>
        </w:tc>
        <w:tc>
          <w:tcPr>
            <w:tcW w:w="187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遵守相关法律法规和相关管理规定，得</w:t>
            </w:r>
            <w:r>
              <w:rPr>
                <w:rFonts w:hint="eastAsia" w:ascii="黑体" w:hAnsi="黑体" w:eastAsia="黑体" w:cs="黑体"/>
                <w:bCs/>
                <w:color w:val="000000"/>
                <w:kern w:val="0"/>
                <w:sz w:val="21"/>
                <w:szCs w:val="21"/>
                <w:lang w:val="en-US" w:eastAsia="zh-CN"/>
              </w:rPr>
              <w:t>2.5</w:t>
            </w:r>
            <w:r>
              <w:rPr>
                <w:rFonts w:hint="eastAsia" w:ascii="黑体" w:hAnsi="黑体" w:eastAsia="黑体" w:cs="黑体"/>
                <w:bCs/>
                <w:color w:val="000000"/>
                <w:kern w:val="0"/>
                <w:sz w:val="21"/>
                <w:szCs w:val="21"/>
              </w:rPr>
              <w:t>分，不完善得1分，未建立得0分。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40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w:t>
            </w:r>
            <w:r>
              <w:rPr>
                <w:rFonts w:hint="eastAsia" w:ascii="黑体" w:hAnsi="黑体" w:eastAsia="黑体" w:cs="黑体"/>
                <w:bCs/>
                <w:color w:val="000000"/>
                <w:kern w:val="0"/>
                <w:sz w:val="21"/>
                <w:szCs w:val="21"/>
                <w:lang w:val="en-US" w:eastAsia="zh-CN"/>
              </w:rPr>
              <w:t>35</w:t>
            </w:r>
            <w:r>
              <w:rPr>
                <w:rFonts w:hint="eastAsia" w:ascii="黑体" w:hAnsi="黑体" w:eastAsia="黑体" w:cs="黑体"/>
                <w:bCs/>
                <w:color w:val="000000"/>
                <w:kern w:val="0"/>
                <w:sz w:val="21"/>
                <w:szCs w:val="21"/>
              </w:rPr>
              <w:t>分）</w:t>
            </w:r>
          </w:p>
        </w:tc>
        <w:tc>
          <w:tcPr>
            <w:tcW w:w="68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产出数量</w:t>
            </w:r>
          </w:p>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2432" w:type="dxa"/>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两定机构准入评估3次</w:t>
            </w:r>
          </w:p>
        </w:tc>
        <w:tc>
          <w:tcPr>
            <w:tcW w:w="410"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187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两定机构准入评估次数达到3次</w:t>
            </w:r>
            <w:r>
              <w:rPr>
                <w:rFonts w:hint="eastAsia" w:ascii="黑体" w:hAnsi="黑体" w:eastAsia="黑体" w:cs="黑体"/>
                <w:bCs/>
                <w:color w:val="000000"/>
                <w:kern w:val="0"/>
                <w:sz w:val="21"/>
                <w:szCs w:val="21"/>
              </w:rPr>
              <w:t>得</w:t>
            </w: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val="en-US" w:eastAsia="zh-CN"/>
              </w:rPr>
              <w:t>每少1次扣1分</w:t>
            </w:r>
            <w:r>
              <w:rPr>
                <w:rFonts w:hint="eastAsia" w:ascii="黑体" w:hAnsi="黑体" w:eastAsia="黑体" w:cs="黑体"/>
                <w:bCs/>
                <w:color w:val="000000"/>
                <w:kern w:val="0"/>
                <w:sz w:val="21"/>
                <w:szCs w:val="21"/>
              </w:rPr>
              <w:t>，扣完为止。</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劳务保障代理41人</w:t>
            </w:r>
          </w:p>
        </w:tc>
        <w:tc>
          <w:tcPr>
            <w:tcW w:w="410"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劳务保障代理人数达到41人</w:t>
            </w:r>
            <w:r>
              <w:rPr>
                <w:rFonts w:hint="eastAsia" w:ascii="黑体" w:hAnsi="黑体" w:eastAsia="黑体" w:cs="黑体"/>
                <w:bCs/>
                <w:color w:val="000000"/>
                <w:kern w:val="0"/>
                <w:sz w:val="21"/>
                <w:szCs w:val="21"/>
              </w:rPr>
              <w:t>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val="en-US" w:eastAsia="zh-CN"/>
              </w:rPr>
              <w:t>每少1扣0.1分</w:t>
            </w:r>
            <w:r>
              <w:rPr>
                <w:rFonts w:hint="eastAsia" w:ascii="黑体" w:hAnsi="黑体" w:eastAsia="黑体" w:cs="黑体"/>
                <w:bCs/>
                <w:color w:val="000000"/>
                <w:kern w:val="0"/>
                <w:sz w:val="21"/>
                <w:szCs w:val="21"/>
              </w:rPr>
              <w:t>，扣完为止。</w:t>
            </w:r>
          </w:p>
        </w:tc>
        <w:tc>
          <w:tcPr>
            <w:tcW w:w="37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医保信息网络平台运维网点385个</w:t>
            </w:r>
          </w:p>
        </w:tc>
        <w:tc>
          <w:tcPr>
            <w:tcW w:w="410"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医保信息网络平台运维网点数达到385个</w:t>
            </w:r>
            <w:r>
              <w:rPr>
                <w:rFonts w:hint="eastAsia" w:ascii="黑体" w:hAnsi="黑体" w:eastAsia="黑体" w:cs="黑体"/>
                <w:bCs/>
                <w:color w:val="000000"/>
                <w:kern w:val="0"/>
                <w:sz w:val="21"/>
                <w:szCs w:val="21"/>
              </w:rPr>
              <w:t>得</w:t>
            </w: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val="en-US" w:eastAsia="zh-CN"/>
              </w:rPr>
              <w:t>每少10个扣0.1分</w:t>
            </w:r>
            <w:r>
              <w:rPr>
                <w:rFonts w:hint="eastAsia" w:ascii="黑体" w:hAnsi="黑体" w:eastAsia="黑体" w:cs="黑体"/>
                <w:bCs/>
                <w:color w:val="000000"/>
                <w:kern w:val="0"/>
                <w:sz w:val="21"/>
                <w:szCs w:val="21"/>
              </w:rPr>
              <w:t>，扣完为止。</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建设医疗保障一体化服务中心17家</w:t>
            </w:r>
          </w:p>
        </w:tc>
        <w:tc>
          <w:tcPr>
            <w:tcW w:w="410"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建设医疗保障一体化服务中心数达到17家以上</w:t>
            </w:r>
            <w:r>
              <w:rPr>
                <w:rFonts w:hint="eastAsia" w:ascii="黑体" w:hAnsi="黑体" w:eastAsia="黑体" w:cs="黑体"/>
                <w:bCs/>
                <w:color w:val="000000"/>
                <w:kern w:val="0"/>
                <w:sz w:val="21"/>
                <w:szCs w:val="21"/>
              </w:rPr>
              <w:t>得</w:t>
            </w: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val="en-US" w:eastAsia="zh-CN"/>
              </w:rPr>
              <w:t>每少1家扣0.1分</w:t>
            </w:r>
            <w:r>
              <w:rPr>
                <w:rFonts w:hint="eastAsia" w:ascii="黑体" w:hAnsi="黑体" w:eastAsia="黑体" w:cs="黑体"/>
                <w:bCs/>
                <w:color w:val="000000"/>
                <w:kern w:val="0"/>
                <w:sz w:val="21"/>
                <w:szCs w:val="21"/>
              </w:rPr>
              <w:t>，扣完为止。</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残疾人就业保障1人</w:t>
            </w:r>
          </w:p>
        </w:tc>
        <w:tc>
          <w:tcPr>
            <w:tcW w:w="410"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残疾人就业保障人数达到1人</w:t>
            </w:r>
            <w:r>
              <w:rPr>
                <w:rFonts w:hint="eastAsia" w:ascii="黑体" w:hAnsi="黑体" w:eastAsia="黑体" w:cs="黑体"/>
                <w:bCs/>
                <w:color w:val="000000"/>
                <w:kern w:val="0"/>
                <w:sz w:val="21"/>
                <w:szCs w:val="21"/>
              </w:rPr>
              <w:t>得</w:t>
            </w:r>
            <w:r>
              <w:rPr>
                <w:rFonts w:hint="eastAsia" w:ascii="黑体" w:hAnsi="黑体" w:eastAsia="黑体" w:cs="黑体"/>
                <w:bCs/>
                <w:color w:val="000000"/>
                <w:kern w:val="0"/>
                <w:sz w:val="21"/>
                <w:szCs w:val="21"/>
                <w:lang w:val="en-US" w:eastAsia="zh-CN"/>
              </w:rPr>
              <w:t>1</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val="en-US" w:eastAsia="zh-CN"/>
              </w:rPr>
              <w:t>少于1人，不得分</w:t>
            </w:r>
            <w:r>
              <w:rPr>
                <w:rFonts w:hint="eastAsia" w:ascii="黑体" w:hAnsi="黑体" w:eastAsia="黑体" w:cs="黑体"/>
                <w:bCs/>
                <w:color w:val="000000"/>
                <w:kern w:val="0"/>
                <w:sz w:val="21"/>
                <w:szCs w:val="21"/>
              </w:rPr>
              <w:t>。</w:t>
            </w:r>
          </w:p>
        </w:tc>
        <w:tc>
          <w:tcPr>
            <w:tcW w:w="37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网络信息安全防护设备采购2批次</w:t>
            </w:r>
          </w:p>
        </w:tc>
        <w:tc>
          <w:tcPr>
            <w:tcW w:w="410"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网络信息安全防护设备采购批次达到2批次</w:t>
            </w:r>
            <w:r>
              <w:rPr>
                <w:rFonts w:hint="eastAsia" w:ascii="黑体" w:hAnsi="黑体" w:eastAsia="黑体" w:cs="黑体"/>
                <w:bCs/>
                <w:color w:val="000000"/>
                <w:kern w:val="0"/>
                <w:sz w:val="21"/>
                <w:szCs w:val="21"/>
              </w:rPr>
              <w:t>得</w:t>
            </w:r>
            <w:r>
              <w:rPr>
                <w:rFonts w:hint="eastAsia" w:ascii="黑体" w:hAnsi="黑体" w:eastAsia="黑体" w:cs="黑体"/>
                <w:bCs/>
                <w:color w:val="000000"/>
                <w:kern w:val="0"/>
                <w:sz w:val="21"/>
                <w:szCs w:val="21"/>
                <w:lang w:val="en-US" w:eastAsia="zh-CN"/>
              </w:rPr>
              <w:t>2</w:t>
            </w:r>
            <w:r>
              <w:rPr>
                <w:rFonts w:hint="eastAsia" w:ascii="黑体" w:hAnsi="黑体" w:eastAsia="黑体" w:cs="黑体"/>
                <w:bCs/>
                <w:color w:val="000000"/>
                <w:kern w:val="0"/>
                <w:sz w:val="21"/>
                <w:szCs w:val="21"/>
              </w:rPr>
              <w:t>分，</w:t>
            </w:r>
            <w:r>
              <w:rPr>
                <w:rFonts w:hint="eastAsia" w:ascii="黑体" w:hAnsi="黑体" w:eastAsia="黑体" w:cs="黑体"/>
                <w:bCs/>
                <w:color w:val="000000"/>
                <w:kern w:val="0"/>
                <w:sz w:val="21"/>
                <w:szCs w:val="21"/>
                <w:lang w:val="en-US" w:eastAsia="zh-CN"/>
              </w:rPr>
              <w:t>每少1批次扣1分</w:t>
            </w:r>
            <w:r>
              <w:rPr>
                <w:rFonts w:hint="eastAsia" w:ascii="黑体" w:hAnsi="黑体" w:eastAsia="黑体" w:cs="黑体"/>
                <w:bCs/>
                <w:color w:val="000000"/>
                <w:kern w:val="0"/>
                <w:sz w:val="21"/>
                <w:szCs w:val="21"/>
              </w:rPr>
              <w:t>，扣完为止。</w:t>
            </w:r>
          </w:p>
        </w:tc>
        <w:tc>
          <w:tcPr>
            <w:tcW w:w="37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产出质量</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2432" w:type="dxa"/>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17家医疗保障一体化服务中心建设运营情况</w:t>
            </w:r>
          </w:p>
        </w:tc>
        <w:tc>
          <w:tcPr>
            <w:tcW w:w="410"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187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医疗保障一体化服务中心建设运营情况良好，得满分，运营情况为中，得1分，运营情况为差，不得分。</w:t>
            </w:r>
          </w:p>
        </w:tc>
        <w:tc>
          <w:tcPr>
            <w:tcW w:w="378" w:type="pct"/>
            <w:noWrap w:val="0"/>
            <w:vAlign w:val="center"/>
          </w:tcPr>
          <w:p>
            <w:pPr>
              <w:widowControl/>
              <w:jc w:val="center"/>
              <w:rPr>
                <w:rFonts w:hint="default" w:ascii="黑体" w:hAnsi="宋体" w:eastAsia="黑体" w:cs="宋体"/>
                <w:kern w:val="0"/>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两定机构准入评估工作进展率</w:t>
            </w:r>
          </w:p>
        </w:tc>
        <w:tc>
          <w:tcPr>
            <w:tcW w:w="410"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187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两定机构准入评估工作进展率达到100%，得满分，每下降10%，扣0.5分，扣完为止。</w:t>
            </w:r>
          </w:p>
        </w:tc>
        <w:tc>
          <w:tcPr>
            <w:tcW w:w="378" w:type="pct"/>
            <w:noWrap w:val="0"/>
            <w:vAlign w:val="center"/>
          </w:tcPr>
          <w:p>
            <w:pPr>
              <w:widowControl/>
              <w:jc w:val="center"/>
              <w:rPr>
                <w:rFonts w:hint="eastAsia" w:ascii="黑体" w:hAnsi="宋体" w:eastAsia="黑体" w:cs="宋体"/>
                <w:kern w:val="0"/>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劳务保障代理工作执行率</w:t>
            </w:r>
          </w:p>
        </w:tc>
        <w:tc>
          <w:tcPr>
            <w:tcW w:w="410"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187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劳务保障代理工作执行率达到100%，得满分，每下降10%，扣0.5分，扣完为止。</w:t>
            </w:r>
          </w:p>
        </w:tc>
        <w:tc>
          <w:tcPr>
            <w:tcW w:w="378" w:type="pct"/>
            <w:noWrap w:val="0"/>
            <w:vAlign w:val="center"/>
          </w:tcPr>
          <w:p>
            <w:pPr>
              <w:widowControl/>
              <w:jc w:val="center"/>
              <w:rPr>
                <w:rFonts w:hint="eastAsia" w:ascii="黑体" w:hAnsi="宋体" w:eastAsia="黑体" w:cs="宋体"/>
                <w:kern w:val="0"/>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医保信息网络平台运维正常性</w:t>
            </w:r>
          </w:p>
        </w:tc>
        <w:tc>
          <w:tcPr>
            <w:tcW w:w="410"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医保信息网络平台运维正常性达到100%，得满分，每下降10%，扣0.5分，扣完为止。</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残疾人就业保障金是否发放</w:t>
            </w:r>
          </w:p>
        </w:tc>
        <w:tc>
          <w:tcPr>
            <w:tcW w:w="410"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1872"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残疾人就业保障金正常发放，得满分，否则不得分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网络信息安全防护设备验收合格率</w:t>
            </w:r>
          </w:p>
        </w:tc>
        <w:tc>
          <w:tcPr>
            <w:tcW w:w="410"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187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网络信息安全防护设备验收合格率达到100%，得满分，每下降10%，扣0.5分，扣完为止。</w:t>
            </w:r>
          </w:p>
        </w:tc>
        <w:tc>
          <w:tcPr>
            <w:tcW w:w="378" w:type="pct"/>
            <w:noWrap w:val="0"/>
            <w:vAlign w:val="center"/>
          </w:tcPr>
          <w:p>
            <w:pPr>
              <w:widowControl/>
              <w:jc w:val="center"/>
              <w:rPr>
                <w:rFonts w:hint="eastAsia" w:ascii="黑体" w:hAnsi="宋体" w:eastAsia="黑体" w:cs="宋体"/>
                <w:kern w:val="0"/>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restar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产出时效</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2432" w:type="dxa"/>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两定机构准入评估工作完成及时率</w:t>
            </w:r>
          </w:p>
        </w:tc>
        <w:tc>
          <w:tcPr>
            <w:tcW w:w="410"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1872"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两定机构准入评估工作在2022年12月31日前完成</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劳务保障代理工作完成及时率</w:t>
            </w:r>
          </w:p>
        </w:tc>
        <w:tc>
          <w:tcPr>
            <w:tcW w:w="410"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劳务保障代理工作在2022年12月31日前完成</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c>
          <w:tcPr>
            <w:tcW w:w="37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医保信息网络平台运维工作完成及时率</w:t>
            </w:r>
          </w:p>
        </w:tc>
        <w:tc>
          <w:tcPr>
            <w:tcW w:w="410"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医保信息网络平台运维工作在2022年12月31日前完成</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eastAsia" w:ascii="黑体" w:hAnsi="黑体" w:eastAsia="黑体" w:cs="黑体"/>
                <w:bCs/>
                <w:color w:val="000000"/>
                <w:kern w:val="0"/>
                <w:sz w:val="21"/>
                <w:szCs w:val="21"/>
                <w:lang w:eastAsia="zh-CN"/>
              </w:rPr>
            </w:pPr>
            <w:r>
              <w:rPr>
                <w:rFonts w:hint="eastAsia" w:ascii="黑体" w:hAnsi="黑体" w:eastAsia="黑体" w:cs="黑体"/>
                <w:bCs/>
                <w:color w:val="000000"/>
                <w:kern w:val="0"/>
                <w:sz w:val="21"/>
                <w:szCs w:val="21"/>
                <w:lang w:val="en-US" w:eastAsia="zh-CN"/>
              </w:rPr>
              <w:t>医疗保障一体化服务中心建设完成及时率</w:t>
            </w:r>
          </w:p>
        </w:tc>
        <w:tc>
          <w:tcPr>
            <w:tcW w:w="410"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医疗保障一体化服务中心建设在2022年12月31日前完成</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残疾人就业保障金发放及时率</w:t>
            </w:r>
          </w:p>
        </w:tc>
        <w:tc>
          <w:tcPr>
            <w:tcW w:w="410"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残疾人就业保障金发放在2022年12月31日前完成</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c>
          <w:tcPr>
            <w:tcW w:w="37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网络信息安全防护设备采购完成及时率</w:t>
            </w:r>
          </w:p>
        </w:tc>
        <w:tc>
          <w:tcPr>
            <w:tcW w:w="410"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网络信息安全防护设备采购在2022年12月31日前完成</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c>
          <w:tcPr>
            <w:tcW w:w="37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restar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产出成本</w:t>
            </w:r>
          </w:p>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（5分）</w:t>
            </w:r>
          </w:p>
        </w:tc>
        <w:tc>
          <w:tcPr>
            <w:tcW w:w="2432" w:type="dxa"/>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两定机构准入评估工作成本控制率</w:t>
            </w:r>
          </w:p>
        </w:tc>
        <w:tc>
          <w:tcPr>
            <w:tcW w:w="410"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两定机构准入评估工作成本控制在预算范围内</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劳务保障代理工作成本控制率</w:t>
            </w:r>
          </w:p>
        </w:tc>
        <w:tc>
          <w:tcPr>
            <w:tcW w:w="410"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0.5</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劳务保障代理工作成本控制在预算范围内</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医保信息网络平台运维工作成本控制率</w:t>
            </w:r>
          </w:p>
        </w:tc>
        <w:tc>
          <w:tcPr>
            <w:tcW w:w="410"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医保信息网络平台运维工作成本控制在预算范围内</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医疗保障一体化服务中心建设成本控制率</w:t>
            </w:r>
          </w:p>
        </w:tc>
        <w:tc>
          <w:tcPr>
            <w:tcW w:w="410"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医疗保障一体化服务中心建设成本控制在预算范围内</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c>
          <w:tcPr>
            <w:tcW w:w="37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残疾人就业保障金发放成本控制率</w:t>
            </w:r>
          </w:p>
        </w:tc>
        <w:tc>
          <w:tcPr>
            <w:tcW w:w="410"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0.5</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残疾人就业保障金发放成本控制在预算范围内</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409" w:type="pct"/>
            <w:vMerge w:val="continue"/>
            <w:noWrap w:val="0"/>
            <w:vAlign w:val="center"/>
          </w:tcPr>
          <w:p>
            <w:pPr>
              <w:widowControl/>
              <w:jc w:val="center"/>
              <w:rPr>
                <w:rFonts w:hint="eastAsia" w:ascii="黑体" w:hAnsi="黑体" w:eastAsia="黑体" w:cs="黑体"/>
                <w:bCs/>
                <w:color w:val="000000"/>
                <w:kern w:val="0"/>
                <w:sz w:val="21"/>
                <w:szCs w:val="21"/>
              </w:rPr>
            </w:pPr>
          </w:p>
        </w:tc>
        <w:tc>
          <w:tcPr>
            <w:tcW w:w="689" w:type="pct"/>
            <w:vMerge w:val="continue"/>
            <w:noWrap w:val="0"/>
            <w:vAlign w:val="center"/>
          </w:tcPr>
          <w:p>
            <w:pPr>
              <w:widowControl/>
              <w:jc w:val="center"/>
              <w:rPr>
                <w:rFonts w:hint="eastAsia" w:ascii="黑体" w:hAnsi="黑体" w:eastAsia="黑体" w:cs="黑体"/>
                <w:bCs/>
                <w:color w:val="000000"/>
                <w:kern w:val="0"/>
                <w:sz w:val="21"/>
                <w:szCs w:val="21"/>
                <w:lang w:eastAsia="zh-CN"/>
              </w:rPr>
            </w:pPr>
          </w:p>
        </w:tc>
        <w:tc>
          <w:tcPr>
            <w:tcW w:w="2432" w:type="dxa"/>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网络信息安全防护设备采购成本控制率</w:t>
            </w:r>
          </w:p>
        </w:tc>
        <w:tc>
          <w:tcPr>
            <w:tcW w:w="410"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网络信息安全防护设备采购成本控制在预算范围内</w:t>
            </w: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得满分，</w:t>
            </w:r>
            <w:r>
              <w:rPr>
                <w:rFonts w:hint="eastAsia" w:ascii="黑体" w:hAnsi="黑体" w:eastAsia="黑体" w:cs="黑体"/>
                <w:bCs/>
                <w:color w:val="000000"/>
                <w:kern w:val="0"/>
                <w:sz w:val="21"/>
                <w:szCs w:val="21"/>
              </w:rPr>
              <w:t xml:space="preserve"> </w:t>
            </w:r>
            <w:r>
              <w:rPr>
                <w:rFonts w:hint="eastAsia" w:ascii="黑体" w:hAnsi="黑体" w:eastAsia="黑体" w:cs="黑体"/>
                <w:bCs/>
                <w:color w:val="000000"/>
                <w:kern w:val="0"/>
                <w:sz w:val="21"/>
                <w:szCs w:val="21"/>
                <w:lang w:val="en-US" w:eastAsia="zh-CN"/>
              </w:rPr>
              <w:t>否则不得分。</w:t>
            </w:r>
          </w:p>
        </w:tc>
        <w:tc>
          <w:tcPr>
            <w:tcW w:w="37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9"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效益（2</w:t>
            </w:r>
            <w:r>
              <w:rPr>
                <w:rFonts w:hint="eastAsia" w:ascii="黑体" w:hAnsi="黑体" w:eastAsia="黑体" w:cs="黑体"/>
                <w:bCs/>
                <w:color w:val="000000"/>
                <w:kern w:val="0"/>
                <w:sz w:val="21"/>
                <w:szCs w:val="21"/>
                <w:lang w:val="en-US" w:eastAsia="zh-CN"/>
              </w:rPr>
              <w:t>5</w:t>
            </w:r>
            <w:r>
              <w:rPr>
                <w:rFonts w:hint="eastAsia" w:ascii="黑体" w:hAnsi="黑体" w:eastAsia="黑体" w:cs="黑体"/>
                <w:bCs/>
                <w:color w:val="000000"/>
                <w:kern w:val="0"/>
                <w:sz w:val="21"/>
                <w:szCs w:val="21"/>
              </w:rPr>
              <w:t>分）　</w:t>
            </w:r>
          </w:p>
        </w:tc>
        <w:tc>
          <w:tcPr>
            <w:tcW w:w="689"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社会效益</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1238" w:type="pct"/>
            <w:noWrap w:val="0"/>
            <w:vAlign w:val="center"/>
          </w:tcPr>
          <w:p>
            <w:pPr>
              <w:widowControl/>
              <w:jc w:val="center"/>
              <w:rPr>
                <w:rFonts w:hint="default" w:ascii="黑体" w:hAnsi="黑体" w:eastAsia="黑体" w:cs="黑体"/>
                <w:bCs/>
                <w:color w:val="000000"/>
                <w:kern w:val="0"/>
                <w:sz w:val="21"/>
                <w:szCs w:val="21"/>
                <w:lang w:val="en-US"/>
              </w:rPr>
            </w:pPr>
            <w:r>
              <w:rPr>
                <w:rFonts w:hint="eastAsia" w:ascii="黑体" w:hAnsi="黑体" w:eastAsia="黑体" w:cs="黑体"/>
                <w:bCs/>
                <w:color w:val="000000"/>
                <w:kern w:val="0"/>
                <w:sz w:val="21"/>
                <w:szCs w:val="21"/>
                <w:lang w:val="en-US" w:eastAsia="zh-CN"/>
              </w:rPr>
              <w:t>为参保用户提供优质的服务，提高医保业务的日常工作效率</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25分）</w:t>
            </w:r>
          </w:p>
        </w:tc>
        <w:tc>
          <w:tcPr>
            <w:tcW w:w="410"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25</w:t>
            </w:r>
          </w:p>
        </w:tc>
        <w:tc>
          <w:tcPr>
            <w:tcW w:w="1872"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val="en-US" w:eastAsia="zh-CN"/>
              </w:rPr>
              <w:t>为参保用户提供优质的服务，提高医保业务的日常工作效率达到95%，得满分，每下降10%，扣2分，扣完为止。</w:t>
            </w:r>
          </w:p>
        </w:tc>
        <w:tc>
          <w:tcPr>
            <w:tcW w:w="378" w:type="pct"/>
            <w:noWrap w:val="0"/>
            <w:vAlign w:val="center"/>
          </w:tcPr>
          <w:p>
            <w:pPr>
              <w:widowControl/>
              <w:jc w:val="center"/>
              <w:rPr>
                <w:rFonts w:hint="default" w:ascii="黑体" w:hAnsi="宋体" w:eastAsia="黑体" w:cs="宋体"/>
                <w:kern w:val="0"/>
                <w:szCs w:val="21"/>
                <w:lang w:val="en-US" w:eastAsia="zh-CN"/>
              </w:rPr>
            </w:pPr>
            <w:r>
              <w:rPr>
                <w:rFonts w:hint="eastAsia" w:ascii="黑体" w:hAnsi="宋体" w:eastAsia="黑体" w:cs="宋体"/>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09"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w:t>
            </w:r>
            <w:r>
              <w:rPr>
                <w:rFonts w:hint="eastAsia" w:ascii="黑体" w:hAnsi="黑体" w:eastAsia="黑体" w:cs="黑体"/>
                <w:bCs/>
                <w:color w:val="000000"/>
                <w:kern w:val="0"/>
                <w:sz w:val="21"/>
                <w:szCs w:val="21"/>
                <w:lang w:val="en-US" w:eastAsia="zh-CN"/>
              </w:rPr>
              <w:t>10</w:t>
            </w:r>
            <w:r>
              <w:rPr>
                <w:rFonts w:hint="eastAsia" w:ascii="黑体" w:hAnsi="黑体" w:eastAsia="黑体" w:cs="黑体"/>
                <w:bCs/>
                <w:color w:val="000000"/>
                <w:kern w:val="0"/>
                <w:sz w:val="21"/>
                <w:szCs w:val="21"/>
              </w:rPr>
              <w:t>分）</w:t>
            </w:r>
          </w:p>
        </w:tc>
        <w:tc>
          <w:tcPr>
            <w:tcW w:w="689" w:type="pct"/>
            <w:noWrap w:val="0"/>
            <w:vAlign w:val="center"/>
          </w:tcPr>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社会公众或服务对象满意度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w:t>
            </w:r>
            <w:r>
              <w:rPr>
                <w:rFonts w:hint="eastAsia" w:ascii="黑体" w:hAnsi="黑体" w:eastAsia="黑体" w:cs="黑体"/>
                <w:bCs/>
                <w:color w:val="000000"/>
                <w:kern w:val="0"/>
                <w:sz w:val="21"/>
                <w:szCs w:val="21"/>
              </w:rPr>
              <w:t>分）</w:t>
            </w:r>
          </w:p>
        </w:tc>
        <w:tc>
          <w:tcPr>
            <w:tcW w:w="1238"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参保人员满意度</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lang w:eastAsia="zh-CN"/>
              </w:rPr>
              <w:t>（</w:t>
            </w:r>
            <w:r>
              <w:rPr>
                <w:rFonts w:hint="eastAsia" w:ascii="黑体" w:hAnsi="黑体" w:eastAsia="黑体" w:cs="黑体"/>
                <w:bCs/>
                <w:color w:val="000000"/>
                <w:kern w:val="0"/>
                <w:sz w:val="21"/>
                <w:szCs w:val="21"/>
                <w:lang w:val="en-US" w:eastAsia="zh-CN"/>
              </w:rPr>
              <w:t>10分）</w:t>
            </w:r>
          </w:p>
        </w:tc>
        <w:tc>
          <w:tcPr>
            <w:tcW w:w="410"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c>
          <w:tcPr>
            <w:tcW w:w="1872" w:type="pct"/>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rPr>
              <w:t>对</w:t>
            </w:r>
            <w:r>
              <w:rPr>
                <w:rFonts w:hint="eastAsia" w:ascii="黑体" w:hAnsi="黑体" w:eastAsia="黑体" w:cs="黑体"/>
                <w:bCs/>
                <w:color w:val="000000"/>
                <w:kern w:val="0"/>
                <w:sz w:val="21"/>
                <w:szCs w:val="21"/>
                <w:lang w:val="en-US" w:eastAsia="zh-CN"/>
              </w:rPr>
              <w:t>参保人员满意度</w:t>
            </w:r>
            <w:r>
              <w:rPr>
                <w:rFonts w:hint="eastAsia" w:ascii="黑体" w:hAnsi="黑体" w:eastAsia="黑体" w:cs="黑体"/>
                <w:bCs/>
                <w:color w:val="000000"/>
                <w:kern w:val="0"/>
                <w:sz w:val="21"/>
                <w:szCs w:val="21"/>
              </w:rPr>
              <w:t xml:space="preserve">调查， </w:t>
            </w:r>
            <w:r>
              <w:rPr>
                <w:rFonts w:hint="eastAsia" w:ascii="黑体" w:hAnsi="黑体" w:eastAsia="黑体" w:cs="黑体"/>
                <w:bCs/>
                <w:color w:val="000000"/>
                <w:kern w:val="0"/>
                <w:sz w:val="21"/>
                <w:szCs w:val="21"/>
                <w:lang w:val="en-US" w:eastAsia="zh-CN"/>
              </w:rPr>
              <w:t>每下降5%，扣1分，扣完为止</w:t>
            </w:r>
          </w:p>
          <w:p>
            <w:pPr>
              <w:widowControl/>
              <w:jc w:val="center"/>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经调查，满意度为</w:t>
            </w:r>
            <w:r>
              <w:rPr>
                <w:rFonts w:hint="eastAsia" w:ascii="黑体" w:hAnsi="黑体" w:eastAsia="黑体" w:cs="黑体"/>
                <w:bCs/>
                <w:color w:val="000000"/>
                <w:kern w:val="0"/>
                <w:sz w:val="21"/>
                <w:szCs w:val="21"/>
                <w:lang w:val="en-US" w:eastAsia="zh-CN"/>
              </w:rPr>
              <w:t>95</w:t>
            </w:r>
            <w:r>
              <w:rPr>
                <w:rFonts w:hint="eastAsia" w:ascii="黑体" w:hAnsi="黑体" w:eastAsia="黑体" w:cs="黑体"/>
                <w:bCs/>
                <w:color w:val="000000"/>
                <w:kern w:val="0"/>
                <w:sz w:val="21"/>
                <w:szCs w:val="21"/>
              </w:rPr>
              <w:t>%</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621" w:type="pct"/>
            <w:gridSpan w:val="5"/>
            <w:noWrap w:val="0"/>
            <w:vAlign w:val="center"/>
          </w:tcPr>
          <w:p>
            <w:pPr>
              <w:widowControl/>
              <w:jc w:val="center"/>
              <w:rPr>
                <w:rFonts w:hint="eastAsia"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总分</w:t>
            </w:r>
          </w:p>
        </w:tc>
        <w:tc>
          <w:tcPr>
            <w:tcW w:w="378" w:type="pct"/>
            <w:noWrap w:val="0"/>
            <w:vAlign w:val="center"/>
          </w:tcPr>
          <w:p>
            <w:pPr>
              <w:widowControl/>
              <w:jc w:val="center"/>
              <w:rPr>
                <w:rFonts w:hint="default" w:ascii="黑体" w:hAnsi="黑体" w:eastAsia="黑体" w:cs="黑体"/>
                <w:bCs/>
                <w:color w:val="000000"/>
                <w:kern w:val="0"/>
                <w:sz w:val="21"/>
                <w:szCs w:val="21"/>
                <w:lang w:val="en-US" w:eastAsia="zh-CN"/>
              </w:rPr>
            </w:pPr>
            <w:r>
              <w:rPr>
                <w:rFonts w:hint="eastAsia" w:ascii="黑体" w:hAnsi="黑体" w:eastAsia="黑体" w:cs="黑体"/>
                <w:bCs/>
                <w:color w:val="000000"/>
                <w:kern w:val="0"/>
                <w:sz w:val="21"/>
                <w:szCs w:val="21"/>
                <w:lang w:val="en-US" w:eastAsia="zh-CN"/>
              </w:rPr>
              <w:t>99.74</w:t>
            </w:r>
          </w:p>
        </w:tc>
      </w:tr>
    </w:tbl>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h="1157" w:hRule="exact" w:wrap="around" w:vAnchor="text" w:hAnchor="margin" w:xAlign="outside" w:y="1"/>
      <w:rPr>
        <w:rStyle w:val="8"/>
        <w:rFonts w:hint="eastAsia" w:ascii="宋体" w:hAnsi="宋体"/>
        <w:sz w:val="28"/>
        <w:szCs w:val="28"/>
      </w:rPr>
    </w:pPr>
    <w:r>
      <w:rPr>
        <w:rStyle w:val="8"/>
        <w:rFonts w:hint="eastAsia" w:ascii="宋体" w:hAnsi="宋体"/>
        <w:sz w:val="28"/>
        <w:szCs w:val="28"/>
      </w:rPr>
      <w:t>─</w:t>
    </w:r>
    <w:r>
      <w:rPr>
        <w:rFonts w:hint="eastAsia" w:ascii="宋体" w:hAnsi="宋体"/>
        <w:sz w:val="28"/>
        <w:szCs w:val="28"/>
      </w:rPr>
      <w:fldChar w:fldCharType="begin"/>
    </w:r>
    <w:r>
      <w:rPr>
        <w:rStyle w:val="8"/>
        <w:rFonts w:hint="eastAsia" w:ascii="宋体" w:hAnsi="宋体"/>
        <w:sz w:val="28"/>
        <w:szCs w:val="28"/>
      </w:rPr>
      <w:instrText xml:space="preserve">PAGE  </w:instrText>
    </w:r>
    <w:r>
      <w:rPr>
        <w:rFonts w:hint="eastAsia" w:ascii="宋体" w:hAnsi="宋体"/>
        <w:sz w:val="28"/>
        <w:szCs w:val="28"/>
      </w:rPr>
      <w:fldChar w:fldCharType="separate"/>
    </w:r>
    <w:r>
      <w:rPr>
        <w:rStyle w:val="8"/>
        <w:rFonts w:ascii="宋体" w:hAnsi="宋体"/>
        <w:sz w:val="28"/>
        <w:szCs w:val="28"/>
      </w:rPr>
      <w:t>4</w:t>
    </w:r>
    <w:r>
      <w:rPr>
        <w:rFonts w:hint="eastAsia" w:ascii="宋体" w:hAnsi="宋体"/>
        <w:sz w:val="28"/>
        <w:szCs w:val="28"/>
      </w:rPr>
      <w:fldChar w:fldCharType="end"/>
    </w:r>
    <w:r>
      <w:rPr>
        <w:rStyle w:val="8"/>
        <w:rFonts w:hint="eastAsia" w:ascii="宋体" w:hAnsi="宋体"/>
        <w:sz w:val="28"/>
        <w:szCs w:val="28"/>
      </w:rPr>
      <w:t>─</w:t>
    </w:r>
  </w:p>
  <w:p>
    <w:pPr>
      <w:pStyle w:val="4"/>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B10D2C"/>
    <w:multiLevelType w:val="singleLevel"/>
    <w:tmpl w:val="B4B10D2C"/>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3YjExNTY1YzhiNDhkZDE3ODcxYzdkYWVjODk4NGIifQ=="/>
  </w:docVars>
  <w:rsids>
    <w:rsidRoot w:val="00000000"/>
    <w:rsid w:val="171F30AD"/>
    <w:rsid w:val="18EC06F0"/>
    <w:rsid w:val="277E6796"/>
    <w:rsid w:val="44D317E4"/>
    <w:rsid w:val="45D753F3"/>
    <w:rsid w:val="46E7041F"/>
    <w:rsid w:val="51397FB8"/>
    <w:rsid w:val="5C64494A"/>
    <w:rsid w:val="67C373FF"/>
    <w:rsid w:val="6E321824"/>
    <w:rsid w:val="6FF66B01"/>
    <w:rsid w:val="71317444"/>
    <w:rsid w:val="71E250B7"/>
    <w:rsid w:val="734A2659"/>
    <w:rsid w:val="7DB4699A"/>
    <w:rsid w:val="7EB758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line="580" w:lineRule="exact"/>
      <w:ind w:left="901" w:leftChars="429" w:firstLine="600" w:firstLineChars="200"/>
    </w:pPr>
    <w:rPr>
      <w:rFonts w:ascii="仿宋_GB2312" w:hAnsi="Times New Roman" w:eastAsia="仿宋_GB2312"/>
      <w:sz w:val="30"/>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8">
    <w:name w:val="page number"/>
    <w:basedOn w:val="7"/>
    <w:qFormat/>
    <w:uiPriority w:val="0"/>
  </w:style>
  <w:style w:type="paragraph" w:customStyle="1" w:styleId="9">
    <w:name w:val="Body Text Indent1"/>
    <w:basedOn w:val="1"/>
    <w:qFormat/>
    <w:uiPriority w:val="0"/>
    <w:pPr>
      <w:ind w:left="420" w:leftChars="200"/>
    </w:pPr>
    <w:rPr>
      <w:rFonts w:ascii="Times New Roman" w:hAnsi="Times New Roman" w:eastAsia="宋体" w:cs="Times New Roman"/>
    </w:rPr>
  </w:style>
  <w:style w:type="character" w:customStyle="1" w:styleId="10">
    <w:name w:val="NormalCharacter"/>
    <w:link w:val="11"/>
    <w:qFormat/>
    <w:uiPriority w:val="0"/>
    <w:rPr>
      <w:rFonts w:ascii="Times New Roman" w:hAnsi="Times New Roman" w:eastAsia="宋体" w:cs="Times New Roman"/>
      <w:b/>
      <w:bCs/>
      <w:sz w:val="44"/>
    </w:rPr>
  </w:style>
  <w:style w:type="paragraph" w:customStyle="1" w:styleId="11">
    <w:name w:val="UserStyle_2"/>
    <w:basedOn w:val="1"/>
    <w:link w:val="10"/>
    <w:qFormat/>
    <w:uiPriority w:val="0"/>
    <w:pPr>
      <w:widowControl/>
      <w:jc w:val="both"/>
      <w:textAlignment w:val="baseline"/>
    </w:pPr>
    <w:rPr>
      <w:rFonts w:ascii="Times New Roman" w:hAnsi="Times New Roman" w:eastAsia="宋体" w:cs="Times New Roman"/>
      <w:b/>
      <w:bCs/>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10460</Words>
  <Characters>11153</Characters>
  <Lines>0</Lines>
  <Paragraphs>0</Paragraphs>
  <TotalTime>5</TotalTime>
  <ScaleCrop>false</ScaleCrop>
  <LinksUpToDate>false</LinksUpToDate>
  <CharactersWithSpaces>11205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2022-05-30T09:38:00Z</dcterms:created>
  <dc:creator>wzsof</dc:creator>
  <cp:lastModifiedBy>Administrator</cp:lastModifiedBy>
  <dcterms:modified xsi:type="dcterms:W3CDTF">2023-12-08T07:22:13Z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A70DA425D93146C8AF32C9202445533A</vt:lpwstr>
  </property>
</Properties>
</file>