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Cs/>
          <w:color w:val="000000"/>
          <w:sz w:val="32"/>
          <w:szCs w:val="32"/>
          <w:highlight w:val="none"/>
          <w:lang w:val="en-US" w:eastAsia="zh-CN"/>
        </w:rPr>
      </w:pPr>
      <w:r>
        <w:rPr>
          <w:rFonts w:hint="eastAsia" w:ascii="黑体" w:hAnsi="黑体" w:eastAsia="黑体" w:cs="黑体"/>
          <w:bCs/>
          <w:color w:val="000000"/>
          <w:sz w:val="32"/>
          <w:szCs w:val="32"/>
          <w:highlight w:val="none"/>
          <w:lang w:val="en-US" w:eastAsia="zh-CN"/>
        </w:rPr>
        <w:t>附件3</w:t>
      </w:r>
      <w:bookmarkStart w:id="0" w:name="_GoBack"/>
      <w:bookmarkEnd w:id="0"/>
      <w:r>
        <w:rPr>
          <w:rFonts w:hint="eastAsia" w:ascii="黑体" w:hAnsi="黑体" w:eastAsia="黑体" w:cs="黑体"/>
          <w:bCs/>
          <w:color w:val="000000"/>
          <w:sz w:val="32"/>
          <w:szCs w:val="32"/>
          <w:highlight w:val="none"/>
          <w:lang w:val="en-US" w:eastAsia="zh-CN"/>
        </w:rPr>
        <w:t>：</w:t>
      </w:r>
    </w:p>
    <w:p>
      <w:pPr>
        <w:pStyle w:val="2"/>
        <w:rPr>
          <w:rFonts w:hint="eastAsia" w:ascii="黑体" w:hAnsi="黑体" w:eastAsia="黑体" w:cs="黑体"/>
          <w:bCs/>
          <w:color w:val="000000"/>
          <w:sz w:val="32"/>
          <w:szCs w:val="32"/>
          <w:highlight w:val="none"/>
          <w:lang w:val="en-US" w:eastAsia="zh-CN"/>
        </w:rPr>
      </w:pPr>
    </w:p>
    <w:p>
      <w:pPr>
        <w:pStyle w:val="2"/>
        <w:rPr>
          <w:rFonts w:hint="eastAsia" w:ascii="黑体" w:hAnsi="黑体" w:eastAsia="黑体" w:cs="黑体"/>
          <w:bCs/>
          <w:color w:val="000000"/>
          <w:sz w:val="32"/>
          <w:szCs w:val="32"/>
          <w:highlight w:val="none"/>
          <w:lang w:val="en-US" w:eastAsia="zh-CN"/>
        </w:rPr>
      </w:pPr>
    </w:p>
    <w:p>
      <w:pPr>
        <w:jc w:val="center"/>
        <w:rPr>
          <w:rFonts w:hint="eastAsia" w:ascii="方正小标宋简体" w:hAnsi="宋体" w:eastAsia="方正小标宋简体" w:cs="Arial"/>
          <w:bCs/>
          <w:color w:val="000000"/>
          <w:sz w:val="44"/>
          <w:szCs w:val="44"/>
          <w:highlight w:val="none"/>
        </w:rPr>
      </w:pPr>
      <w:r>
        <w:rPr>
          <w:rFonts w:hint="eastAsia" w:ascii="方正小标宋简体" w:hAnsi="宋体" w:eastAsia="方正小标宋简体" w:cs="Arial"/>
          <w:bCs/>
          <w:sz w:val="44"/>
          <w:szCs w:val="44"/>
          <w:highlight w:val="none"/>
          <w:lang w:eastAsia="zh-CN"/>
        </w:rPr>
        <w:t>南昌市</w:t>
      </w:r>
      <w:r>
        <w:rPr>
          <w:rFonts w:hint="eastAsia" w:ascii="方正小标宋简体" w:hAnsi="宋体" w:eastAsia="方正小标宋简体" w:cs="Arial"/>
          <w:bCs/>
          <w:sz w:val="44"/>
          <w:szCs w:val="44"/>
          <w:highlight w:val="none"/>
          <w:lang w:val="en-US" w:eastAsia="zh-CN"/>
        </w:rPr>
        <w:t>医疗保险事业管理处</w:t>
      </w:r>
      <w:r>
        <w:rPr>
          <w:rFonts w:hint="eastAsia" w:ascii="方正小标宋简体" w:hAnsi="宋体" w:eastAsia="方正小标宋简体" w:cs="Arial"/>
          <w:bCs/>
          <w:color w:val="000000"/>
          <w:sz w:val="44"/>
          <w:szCs w:val="44"/>
          <w:highlight w:val="none"/>
        </w:rPr>
        <w:t>项目支出绩效评价报告</w:t>
      </w:r>
    </w:p>
    <w:p>
      <w:pPr>
        <w:rPr>
          <w:rFonts w:hint="eastAsia" w:ascii="黑体" w:hAnsi="宋体" w:eastAsia="黑体" w:cs="Arial"/>
          <w:bCs/>
          <w:color w:val="000000"/>
          <w:sz w:val="32"/>
          <w:szCs w:val="32"/>
          <w:highlight w:val="none"/>
        </w:rPr>
      </w:pPr>
    </w:p>
    <w:p>
      <w:pPr>
        <w:spacing w:line="600" w:lineRule="exact"/>
        <w:ind w:firstLine="160" w:firstLineChars="50"/>
        <w:rPr>
          <w:rFonts w:hint="eastAsia" w:ascii="黑体" w:hAnsi="黑体" w:eastAsia="黑体" w:cs="黑体"/>
          <w:bCs/>
          <w:color w:val="000000"/>
          <w:sz w:val="32"/>
          <w:szCs w:val="32"/>
          <w:highlight w:val="none"/>
          <w:u w:val="single"/>
        </w:rPr>
      </w:pPr>
      <w:r>
        <w:rPr>
          <w:rFonts w:hint="eastAsia" w:ascii="黑体" w:hAnsi="宋体" w:eastAsia="黑体" w:cs="Arial"/>
          <w:bCs/>
          <w:color w:val="000000"/>
          <w:sz w:val="32"/>
          <w:szCs w:val="32"/>
          <w:highlight w:val="none"/>
        </w:rPr>
        <w:t>项目名称：</w:t>
      </w:r>
      <w:r>
        <w:rPr>
          <w:rFonts w:hint="eastAsia" w:ascii="黑体" w:hAnsi="黑体" w:eastAsia="黑体" w:cs="黑体"/>
          <w:bCs/>
          <w:color w:val="000000"/>
          <w:sz w:val="32"/>
          <w:szCs w:val="32"/>
          <w:highlight w:val="none"/>
          <w:u w:val="single"/>
        </w:rPr>
        <w:t xml:space="preserve">      医疗保险业务及办公经费补助                       </w:t>
      </w:r>
    </w:p>
    <w:p>
      <w:pPr>
        <w:spacing w:line="600" w:lineRule="exact"/>
        <w:rPr>
          <w:rFonts w:hint="eastAsia" w:ascii="黑体" w:hAnsi="宋体" w:eastAsia="黑体" w:cs="Arial"/>
          <w:bCs/>
          <w:color w:val="000000"/>
          <w:sz w:val="32"/>
          <w:szCs w:val="32"/>
          <w:highlight w:val="none"/>
        </w:rPr>
      </w:pPr>
    </w:p>
    <w:p>
      <w:pPr>
        <w:spacing w:line="600" w:lineRule="exact"/>
        <w:ind w:firstLine="160" w:firstLineChars="50"/>
        <w:rPr>
          <w:rFonts w:hint="eastAsia" w:ascii="黑体" w:hAnsi="宋体" w:eastAsia="黑体" w:cs="Arial"/>
          <w:bCs/>
          <w:color w:val="000000"/>
          <w:sz w:val="32"/>
          <w:szCs w:val="32"/>
          <w:highlight w:val="none"/>
        </w:rPr>
      </w:pPr>
      <w:r>
        <w:rPr>
          <w:rFonts w:hint="eastAsia" w:ascii="黑体" w:hAnsi="宋体" w:eastAsia="黑体" w:cs="Arial"/>
          <w:bCs/>
          <w:color w:val="000000"/>
          <w:sz w:val="32"/>
          <w:szCs w:val="32"/>
          <w:highlight w:val="none"/>
        </w:rPr>
        <w:t>项目类别：</w:t>
      </w:r>
      <w:r>
        <w:rPr>
          <w:rFonts w:hint="eastAsia" w:ascii="黑体" w:hAnsi="黑体" w:eastAsia="黑体" w:cs="黑体"/>
          <w:bCs/>
          <w:color w:val="000000"/>
          <w:sz w:val="32"/>
          <w:szCs w:val="32"/>
          <w:highlight w:val="none"/>
          <w:u w:val="single"/>
        </w:rPr>
        <w:t xml:space="preserve">              社会事业类                        </w:t>
      </w:r>
    </w:p>
    <w:p>
      <w:pPr>
        <w:spacing w:line="600" w:lineRule="exact"/>
        <w:rPr>
          <w:rFonts w:hint="eastAsia" w:ascii="黑体" w:hAnsi="宋体" w:eastAsia="黑体" w:cs="Arial"/>
          <w:bCs/>
          <w:color w:val="000000"/>
          <w:sz w:val="32"/>
          <w:szCs w:val="32"/>
          <w:highlight w:val="none"/>
        </w:rPr>
      </w:pPr>
    </w:p>
    <w:p>
      <w:pPr>
        <w:spacing w:line="600" w:lineRule="exact"/>
        <w:ind w:firstLine="160" w:firstLineChars="50"/>
        <w:rPr>
          <w:rFonts w:hint="eastAsia" w:ascii="黑体" w:hAnsi="宋体" w:eastAsia="黑体" w:cs="Arial"/>
          <w:bCs/>
          <w:color w:val="000000"/>
          <w:sz w:val="32"/>
          <w:szCs w:val="32"/>
          <w:highlight w:val="none"/>
        </w:rPr>
      </w:pPr>
      <w:r>
        <w:rPr>
          <w:rFonts w:hint="eastAsia" w:ascii="黑体" w:hAnsi="宋体" w:eastAsia="黑体" w:cs="Arial"/>
          <w:bCs/>
          <w:color w:val="000000"/>
          <w:sz w:val="32"/>
          <w:szCs w:val="32"/>
          <w:highlight w:val="none"/>
        </w:rPr>
        <w:t>实施单位：</w:t>
      </w:r>
      <w:r>
        <w:rPr>
          <w:rFonts w:hint="eastAsia" w:ascii="黑体" w:hAnsi="黑体" w:eastAsia="黑体" w:cs="黑体"/>
          <w:bCs/>
          <w:color w:val="000000"/>
          <w:sz w:val="32"/>
          <w:szCs w:val="32"/>
          <w:highlight w:val="none"/>
          <w:u w:val="single"/>
        </w:rPr>
        <w:t xml:space="preserve">       </w:t>
      </w:r>
      <w:r>
        <w:rPr>
          <w:rFonts w:hint="eastAsia" w:ascii="黑体" w:hAnsi="黑体" w:eastAsia="黑体" w:cs="黑体"/>
          <w:bCs/>
          <w:color w:val="000000"/>
          <w:sz w:val="32"/>
          <w:szCs w:val="32"/>
          <w:highlight w:val="none"/>
          <w:u w:val="single"/>
          <w:lang w:eastAsia="zh-CN"/>
        </w:rPr>
        <w:t>南昌市</w:t>
      </w:r>
      <w:r>
        <w:rPr>
          <w:rFonts w:hint="eastAsia" w:ascii="黑体" w:hAnsi="黑体" w:eastAsia="黑体" w:cs="黑体"/>
          <w:bCs/>
          <w:color w:val="000000"/>
          <w:sz w:val="32"/>
          <w:szCs w:val="32"/>
          <w:highlight w:val="none"/>
          <w:u w:val="single"/>
          <w:lang w:val="en-US" w:eastAsia="zh-CN"/>
        </w:rPr>
        <w:t>医疗保险事业管理处</w:t>
      </w:r>
      <w:r>
        <w:rPr>
          <w:rFonts w:hint="eastAsia" w:ascii="黑体" w:hAnsi="黑体" w:eastAsia="黑体" w:cs="黑体"/>
          <w:bCs/>
          <w:color w:val="000000"/>
          <w:sz w:val="32"/>
          <w:szCs w:val="32"/>
          <w:highlight w:val="none"/>
          <w:u w:val="single"/>
        </w:rPr>
        <w:t xml:space="preserve">                         </w:t>
      </w:r>
    </w:p>
    <w:p>
      <w:pPr>
        <w:spacing w:line="600" w:lineRule="exact"/>
        <w:rPr>
          <w:rFonts w:hint="eastAsia" w:ascii="黑体" w:hAnsi="宋体" w:eastAsia="黑体" w:cs="Arial"/>
          <w:bCs/>
          <w:color w:val="000000"/>
          <w:sz w:val="32"/>
          <w:szCs w:val="32"/>
          <w:highlight w:val="none"/>
        </w:rPr>
      </w:pPr>
    </w:p>
    <w:p>
      <w:pPr>
        <w:spacing w:line="600" w:lineRule="exact"/>
        <w:ind w:firstLine="160" w:firstLineChars="50"/>
        <w:rPr>
          <w:rFonts w:hint="eastAsia" w:ascii="黑体" w:hAnsi="宋体" w:eastAsia="黑体" w:cs="Arial"/>
          <w:bCs/>
          <w:color w:val="000000"/>
          <w:sz w:val="32"/>
          <w:szCs w:val="32"/>
          <w:highlight w:val="none"/>
        </w:rPr>
      </w:pPr>
      <w:r>
        <w:rPr>
          <w:rFonts w:hint="eastAsia" w:ascii="黑体" w:hAnsi="宋体" w:eastAsia="黑体" w:cs="Arial"/>
          <w:bCs/>
          <w:color w:val="000000"/>
          <w:sz w:val="32"/>
          <w:szCs w:val="32"/>
          <w:highlight w:val="none"/>
        </w:rPr>
        <w:t>主管部门：</w:t>
      </w:r>
      <w:r>
        <w:rPr>
          <w:rFonts w:hint="eastAsia" w:ascii="黑体" w:hAnsi="黑体" w:eastAsia="黑体" w:cs="黑体"/>
          <w:bCs/>
          <w:color w:val="000000"/>
          <w:sz w:val="32"/>
          <w:szCs w:val="32"/>
          <w:highlight w:val="none"/>
          <w:u w:val="single"/>
        </w:rPr>
        <w:t xml:space="preserve">   </w:t>
      </w:r>
      <w:r>
        <w:rPr>
          <w:rFonts w:hint="eastAsia" w:ascii="黑体" w:hAnsi="黑体" w:eastAsia="黑体" w:cs="黑体"/>
          <w:bCs/>
          <w:color w:val="000000"/>
          <w:sz w:val="32"/>
          <w:szCs w:val="32"/>
          <w:highlight w:val="none"/>
          <w:u w:val="single"/>
          <w:lang w:val="en-US" w:eastAsia="zh-CN"/>
        </w:rPr>
        <w:t xml:space="preserve">       </w:t>
      </w:r>
      <w:r>
        <w:rPr>
          <w:rFonts w:hint="eastAsia" w:ascii="黑体" w:hAnsi="黑体" w:eastAsia="黑体" w:cs="黑体"/>
          <w:bCs/>
          <w:color w:val="000000"/>
          <w:sz w:val="32"/>
          <w:szCs w:val="32"/>
          <w:highlight w:val="none"/>
          <w:u w:val="single"/>
        </w:rPr>
        <w:t xml:space="preserve"> 南昌市医疗保障局  </w:t>
      </w:r>
      <w:r>
        <w:rPr>
          <w:rFonts w:hint="eastAsia" w:ascii="黑体" w:hAnsi="黑体" w:eastAsia="黑体" w:cs="黑体"/>
          <w:bCs/>
          <w:color w:val="000000"/>
          <w:sz w:val="32"/>
          <w:szCs w:val="32"/>
          <w:highlight w:val="none"/>
          <w:u w:val="single"/>
          <w:lang w:val="en-US" w:eastAsia="zh-CN"/>
        </w:rPr>
        <w:t xml:space="preserve">  </w:t>
      </w:r>
      <w:r>
        <w:rPr>
          <w:rFonts w:hint="eastAsia" w:ascii="黑体" w:hAnsi="黑体" w:eastAsia="黑体" w:cs="黑体"/>
          <w:bCs/>
          <w:color w:val="000000"/>
          <w:sz w:val="32"/>
          <w:szCs w:val="32"/>
          <w:highlight w:val="none"/>
          <w:u w:val="single"/>
        </w:rPr>
        <w:t xml:space="preserve">  （盖章）</w:t>
      </w:r>
    </w:p>
    <w:p>
      <w:pPr>
        <w:spacing w:line="600" w:lineRule="exact"/>
        <w:rPr>
          <w:rFonts w:hint="eastAsia" w:ascii="黑体" w:hAnsi="宋体" w:eastAsia="黑体" w:cs="Arial"/>
          <w:bCs/>
          <w:color w:val="000000"/>
          <w:sz w:val="32"/>
          <w:szCs w:val="32"/>
          <w:highlight w:val="none"/>
        </w:rPr>
      </w:pPr>
    </w:p>
    <w:p>
      <w:pPr>
        <w:spacing w:line="600" w:lineRule="exact"/>
        <w:ind w:firstLine="160" w:firstLineChars="50"/>
        <w:rPr>
          <w:rFonts w:hint="eastAsia" w:ascii="黑体" w:hAnsi="宋体" w:eastAsia="黑体" w:cs="Arial"/>
          <w:bCs/>
          <w:color w:val="000000"/>
          <w:sz w:val="32"/>
          <w:szCs w:val="32"/>
          <w:highlight w:val="none"/>
        </w:rPr>
      </w:pPr>
      <w:r>
        <w:rPr>
          <w:rFonts w:hint="eastAsia" w:ascii="黑体" w:hAnsi="宋体" w:eastAsia="黑体" w:cs="Arial"/>
          <w:bCs/>
          <w:color w:val="000000"/>
          <w:sz w:val="32"/>
          <w:szCs w:val="32"/>
          <w:highlight w:val="none"/>
        </w:rPr>
        <w:t>评价机构：</w:t>
      </w:r>
      <w:r>
        <w:rPr>
          <w:rFonts w:hint="eastAsia" w:ascii="黑体" w:hAnsi="黑体" w:eastAsia="黑体" w:cs="黑体"/>
          <w:bCs/>
          <w:color w:val="000000"/>
          <w:sz w:val="32"/>
          <w:szCs w:val="32"/>
          <w:highlight w:val="none"/>
          <w:u w:val="single"/>
        </w:rPr>
        <w:t xml:space="preserve">      </w:t>
      </w:r>
      <w:r>
        <w:rPr>
          <w:rFonts w:hint="eastAsia" w:ascii="黑体" w:hAnsi="黑体" w:eastAsia="黑体" w:cs="黑体"/>
          <w:bCs/>
          <w:color w:val="000000"/>
          <w:sz w:val="32"/>
          <w:szCs w:val="32"/>
          <w:highlight w:val="none"/>
          <w:u w:val="single"/>
          <w:lang w:val="en-US" w:eastAsia="zh-CN"/>
        </w:rPr>
        <w:t xml:space="preserve">  </w:t>
      </w:r>
      <w:r>
        <w:rPr>
          <w:rFonts w:hint="eastAsia" w:ascii="黑体" w:hAnsi="黑体" w:eastAsia="黑体" w:cs="黑体"/>
          <w:bCs/>
          <w:color w:val="000000"/>
          <w:sz w:val="32"/>
          <w:szCs w:val="32"/>
          <w:highlight w:val="none"/>
          <w:u w:val="single"/>
        </w:rPr>
        <w:t xml:space="preserve">南昌市医疗保障局评价组 </w:t>
      </w:r>
      <w:r>
        <w:rPr>
          <w:rFonts w:hint="eastAsia" w:ascii="黑体" w:hAnsi="黑体" w:eastAsia="黑体" w:cs="黑体"/>
          <w:bCs/>
          <w:color w:val="000000"/>
          <w:sz w:val="32"/>
          <w:szCs w:val="32"/>
          <w:highlight w:val="none"/>
          <w:u w:val="single"/>
          <w:lang w:val="en-US" w:eastAsia="zh-CN"/>
        </w:rPr>
        <w:t xml:space="preserve"> </w:t>
      </w:r>
      <w:r>
        <w:rPr>
          <w:rFonts w:hint="eastAsia" w:ascii="黑体" w:hAnsi="黑体" w:eastAsia="黑体" w:cs="黑体"/>
          <w:bCs/>
          <w:color w:val="000000"/>
          <w:sz w:val="32"/>
          <w:szCs w:val="32"/>
          <w:highlight w:val="none"/>
          <w:u w:val="single"/>
        </w:rPr>
        <w:t xml:space="preserve"> （盖章）</w:t>
      </w:r>
    </w:p>
    <w:p>
      <w:pPr>
        <w:spacing w:line="600" w:lineRule="exact"/>
        <w:rPr>
          <w:rFonts w:hint="eastAsia" w:ascii="黑体" w:hAnsi="宋体" w:eastAsia="黑体" w:cs="Arial"/>
          <w:bCs/>
          <w:color w:val="000000"/>
          <w:sz w:val="32"/>
          <w:szCs w:val="32"/>
          <w:highlight w:val="none"/>
        </w:rPr>
      </w:pPr>
    </w:p>
    <w:p>
      <w:pPr>
        <w:spacing w:line="600" w:lineRule="exact"/>
        <w:ind w:firstLine="160" w:firstLineChars="50"/>
        <w:rPr>
          <w:rFonts w:hint="eastAsia" w:ascii="黑体" w:hAnsi="宋体" w:eastAsia="黑体" w:cs="Arial"/>
          <w:bCs/>
          <w:color w:val="000000"/>
          <w:sz w:val="32"/>
          <w:szCs w:val="32"/>
          <w:highlight w:val="none"/>
        </w:rPr>
      </w:pPr>
      <w:r>
        <w:rPr>
          <w:rFonts w:hint="eastAsia" w:ascii="黑体" w:hAnsi="宋体" w:eastAsia="黑体" w:cs="Arial"/>
          <w:bCs/>
          <w:color w:val="000000"/>
          <w:sz w:val="32"/>
          <w:szCs w:val="32"/>
          <w:highlight w:val="none"/>
        </w:rPr>
        <w:t>评价年度：</w:t>
      </w:r>
      <w:r>
        <w:rPr>
          <w:rFonts w:hint="eastAsia" w:ascii="黑体" w:hAnsi="黑体" w:eastAsia="黑体" w:cs="黑体"/>
          <w:bCs/>
          <w:color w:val="000000"/>
          <w:sz w:val="32"/>
          <w:szCs w:val="32"/>
          <w:highlight w:val="none"/>
          <w:u w:val="single"/>
        </w:rPr>
        <w:t xml:space="preserve">               </w:t>
      </w:r>
      <w:r>
        <w:rPr>
          <w:rFonts w:hint="eastAsia" w:ascii="黑体" w:hAnsi="黑体" w:eastAsia="黑体" w:cs="黑体"/>
          <w:bCs/>
          <w:color w:val="000000"/>
          <w:sz w:val="32"/>
          <w:szCs w:val="32"/>
          <w:highlight w:val="none"/>
          <w:u w:val="single"/>
          <w:lang w:val="en-US" w:eastAsia="zh-CN"/>
        </w:rPr>
        <w:t xml:space="preserve"> 2020年度</w:t>
      </w:r>
      <w:r>
        <w:rPr>
          <w:rFonts w:hint="eastAsia" w:ascii="黑体" w:hAnsi="黑体" w:eastAsia="黑体" w:cs="黑体"/>
          <w:bCs/>
          <w:color w:val="000000"/>
          <w:sz w:val="32"/>
          <w:szCs w:val="32"/>
          <w:highlight w:val="none"/>
          <w:u w:val="single"/>
        </w:rPr>
        <w:t xml:space="preserve">                       </w:t>
      </w:r>
    </w:p>
    <w:p>
      <w:pPr>
        <w:rPr>
          <w:rFonts w:hint="eastAsia" w:ascii="黑体" w:hAnsi="宋体" w:eastAsia="黑体" w:cs="Arial"/>
          <w:bCs/>
          <w:color w:val="000000"/>
          <w:sz w:val="32"/>
          <w:szCs w:val="32"/>
          <w:highlight w:val="none"/>
        </w:rPr>
      </w:pPr>
    </w:p>
    <w:p>
      <w:pPr>
        <w:jc w:val="center"/>
        <w:rPr>
          <w:rFonts w:hint="eastAsia" w:ascii="黑体" w:hAnsi="宋体" w:eastAsia="黑体" w:cs="Arial"/>
          <w:bCs/>
          <w:color w:val="000000"/>
          <w:sz w:val="32"/>
          <w:szCs w:val="32"/>
          <w:highlight w:val="none"/>
        </w:rPr>
      </w:pPr>
    </w:p>
    <w:p>
      <w:pPr>
        <w:jc w:val="center"/>
        <w:rPr>
          <w:rFonts w:hint="eastAsia" w:ascii="黑体" w:hAnsi="宋体" w:eastAsia="黑体" w:cs="Arial"/>
          <w:bCs/>
          <w:color w:val="000000"/>
          <w:sz w:val="32"/>
          <w:szCs w:val="32"/>
          <w:highlight w:val="none"/>
        </w:rPr>
      </w:pPr>
    </w:p>
    <w:p>
      <w:pPr>
        <w:jc w:val="center"/>
        <w:rPr>
          <w:rFonts w:hint="eastAsia" w:ascii="黑体" w:hAnsi="宋体" w:eastAsia="黑体" w:cs="Arial"/>
          <w:bCs/>
          <w:color w:val="000000"/>
          <w:sz w:val="32"/>
          <w:szCs w:val="32"/>
          <w:highlight w:val="none"/>
        </w:rPr>
      </w:pPr>
      <w:r>
        <w:rPr>
          <w:rFonts w:hint="eastAsia" w:ascii="黑体" w:hAnsi="宋体" w:eastAsia="黑体" w:cs="Arial"/>
          <w:bCs/>
          <w:color w:val="000000"/>
          <w:sz w:val="32"/>
          <w:szCs w:val="32"/>
          <w:highlight w:val="none"/>
          <w:lang w:val="en-US" w:eastAsia="zh-CN"/>
        </w:rPr>
        <w:t>2021</w:t>
      </w:r>
      <w:r>
        <w:rPr>
          <w:rFonts w:hint="eastAsia" w:ascii="黑体" w:hAnsi="宋体" w:eastAsia="黑体" w:cs="Arial"/>
          <w:bCs/>
          <w:color w:val="000000"/>
          <w:sz w:val="32"/>
          <w:szCs w:val="32"/>
          <w:highlight w:val="none"/>
        </w:rPr>
        <w:t xml:space="preserve">年 </w:t>
      </w:r>
      <w:r>
        <w:rPr>
          <w:rFonts w:hint="eastAsia" w:ascii="黑体" w:hAnsi="宋体" w:eastAsia="黑体" w:cs="Arial"/>
          <w:bCs/>
          <w:color w:val="000000"/>
          <w:sz w:val="32"/>
          <w:szCs w:val="32"/>
          <w:highlight w:val="none"/>
          <w:lang w:val="en-US" w:eastAsia="zh-CN"/>
        </w:rPr>
        <w:t>5</w:t>
      </w:r>
      <w:r>
        <w:rPr>
          <w:rFonts w:hint="eastAsia" w:ascii="黑体" w:hAnsi="宋体" w:eastAsia="黑体" w:cs="Arial"/>
          <w:bCs/>
          <w:color w:val="000000"/>
          <w:sz w:val="32"/>
          <w:szCs w:val="32"/>
          <w:highlight w:val="none"/>
        </w:rPr>
        <w:t>月</w:t>
      </w:r>
      <w:r>
        <w:rPr>
          <w:rFonts w:hint="eastAsia" w:ascii="黑体" w:hAnsi="宋体" w:eastAsia="黑体" w:cs="Arial"/>
          <w:bCs/>
          <w:color w:val="000000"/>
          <w:sz w:val="32"/>
          <w:szCs w:val="32"/>
          <w:highlight w:val="none"/>
          <w:lang w:val="en-US" w:eastAsia="zh-CN"/>
        </w:rPr>
        <w:t>20</w:t>
      </w:r>
      <w:r>
        <w:rPr>
          <w:rFonts w:hint="eastAsia" w:ascii="黑体" w:hAnsi="宋体" w:eastAsia="黑体" w:cs="Arial"/>
          <w:bCs/>
          <w:color w:val="000000"/>
          <w:sz w:val="32"/>
          <w:szCs w:val="32"/>
          <w:highlight w:val="none"/>
        </w:rPr>
        <w:t>日</w:t>
      </w:r>
    </w:p>
    <w:p>
      <w:pPr>
        <w:jc w:val="both"/>
        <w:rPr>
          <w:rFonts w:hint="eastAsia" w:ascii="黑体" w:hAnsi="宋体" w:eastAsia="黑体" w:cs="Arial"/>
          <w:bCs/>
          <w:color w:val="000000"/>
          <w:sz w:val="32"/>
          <w:szCs w:val="32"/>
          <w:highlight w:val="none"/>
        </w:rPr>
      </w:pPr>
    </w:p>
    <w:tbl>
      <w:tblPr>
        <w:tblStyle w:val="7"/>
        <w:tblW w:w="8928" w:type="dxa"/>
        <w:jc w:val="center"/>
        <w:tblLayout w:type="fixed"/>
        <w:tblCellMar>
          <w:top w:w="0" w:type="dxa"/>
          <w:left w:w="108" w:type="dxa"/>
          <w:bottom w:w="0" w:type="dxa"/>
          <w:right w:w="108" w:type="dxa"/>
        </w:tblCellMar>
      </w:tblPr>
      <w:tblGrid>
        <w:gridCol w:w="1850"/>
        <w:gridCol w:w="3202"/>
        <w:gridCol w:w="2176"/>
        <w:gridCol w:w="1700"/>
      </w:tblGrid>
      <w:tr>
        <w:tblPrEx>
          <w:tblCellMar>
            <w:top w:w="0" w:type="dxa"/>
            <w:left w:w="108" w:type="dxa"/>
            <w:bottom w:w="0" w:type="dxa"/>
            <w:right w:w="108" w:type="dxa"/>
          </w:tblCellMar>
        </w:tblPrEx>
        <w:trPr>
          <w:trHeight w:val="745" w:hRule="atLeast"/>
          <w:jc w:val="center"/>
        </w:trPr>
        <w:tc>
          <w:tcPr>
            <w:tcW w:w="8928"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eastAsia="黑体"/>
                <w:color w:val="000000"/>
                <w:sz w:val="28"/>
                <w:szCs w:val="28"/>
                <w:highlight w:val="none"/>
              </w:rPr>
            </w:pPr>
            <w:r>
              <w:rPr>
                <w:rFonts w:hint="eastAsia" w:ascii="黑体" w:hAnsi="黑体" w:eastAsia="黑体" w:cs="黑体"/>
                <w:bCs/>
                <w:color w:val="000000"/>
                <w:sz w:val="28"/>
                <w:szCs w:val="28"/>
                <w:highlight w:val="none"/>
              </w:rPr>
              <w:t>项目绩效评价人员</w:t>
            </w: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黑体" w:eastAsia="黑体"/>
                <w:color w:val="000000"/>
                <w:sz w:val="28"/>
                <w:szCs w:val="28"/>
                <w:highlight w:val="none"/>
              </w:rPr>
            </w:pPr>
            <w:r>
              <w:rPr>
                <w:rFonts w:hint="eastAsia" w:ascii="黑体" w:hAnsi="黑体" w:eastAsia="黑体"/>
                <w:color w:val="000000"/>
                <w:sz w:val="28"/>
                <w:szCs w:val="28"/>
                <w:highlight w:val="none"/>
              </w:rPr>
              <w:t>姓  名</w:t>
            </w:r>
          </w:p>
        </w:tc>
        <w:tc>
          <w:tcPr>
            <w:tcW w:w="320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黑体" w:eastAsia="黑体"/>
                <w:color w:val="000000"/>
                <w:sz w:val="28"/>
                <w:szCs w:val="28"/>
                <w:highlight w:val="none"/>
              </w:rPr>
            </w:pPr>
            <w:r>
              <w:rPr>
                <w:rFonts w:hint="eastAsia" w:ascii="黑体" w:hAnsi="黑体" w:eastAsia="黑体"/>
                <w:color w:val="000000"/>
                <w:sz w:val="28"/>
                <w:szCs w:val="28"/>
                <w:highlight w:val="none"/>
              </w:rPr>
              <w:t>单  位</w:t>
            </w:r>
          </w:p>
        </w:tc>
        <w:tc>
          <w:tcPr>
            <w:tcW w:w="2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黑体" w:eastAsia="黑体"/>
                <w:color w:val="000000"/>
                <w:sz w:val="28"/>
                <w:szCs w:val="28"/>
                <w:highlight w:val="none"/>
              </w:rPr>
            </w:pPr>
            <w:r>
              <w:rPr>
                <w:rFonts w:hint="eastAsia" w:ascii="黑体" w:hAnsi="黑体" w:eastAsia="黑体"/>
                <w:color w:val="000000"/>
                <w:sz w:val="28"/>
                <w:szCs w:val="28"/>
                <w:highlight w:val="none"/>
              </w:rPr>
              <w:t>职称/职务</w:t>
            </w:r>
          </w:p>
        </w:tc>
        <w:tc>
          <w:tcPr>
            <w:tcW w:w="170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黑体" w:eastAsia="黑体"/>
                <w:color w:val="000000"/>
                <w:sz w:val="28"/>
                <w:szCs w:val="28"/>
                <w:highlight w:val="none"/>
              </w:rPr>
            </w:pPr>
            <w:r>
              <w:rPr>
                <w:rFonts w:hint="eastAsia" w:ascii="黑体" w:hAnsi="黑体" w:eastAsia="黑体"/>
                <w:color w:val="000000"/>
                <w:sz w:val="28"/>
                <w:szCs w:val="28"/>
                <w:highlight w:val="none"/>
              </w:rPr>
              <w:t>签  名</w:t>
            </w: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黑体" w:eastAsia="黑体" w:cs="Times New Roman"/>
                <w:color w:val="000000"/>
                <w:sz w:val="28"/>
                <w:szCs w:val="28"/>
                <w:highlight w:val="none"/>
              </w:rPr>
            </w:pPr>
            <w:r>
              <w:rPr>
                <w:rFonts w:hint="default" w:ascii="黑体" w:hAnsi="黑体" w:eastAsia="黑体" w:cs="Times New Roman"/>
                <w:color w:val="000000"/>
                <w:sz w:val="28"/>
                <w:szCs w:val="28"/>
                <w:highlight w:val="none"/>
                <w:lang w:val="en-US"/>
              </w:rPr>
              <w:t>熊慧平</w:t>
            </w:r>
          </w:p>
        </w:tc>
        <w:tc>
          <w:tcPr>
            <w:tcW w:w="320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黑体" w:eastAsia="黑体" w:cs="Times New Roman"/>
                <w:color w:val="000000"/>
                <w:sz w:val="28"/>
                <w:szCs w:val="28"/>
                <w:highlight w:val="none"/>
              </w:rPr>
            </w:pPr>
            <w:r>
              <w:rPr>
                <w:rFonts w:hint="eastAsia" w:ascii="黑体" w:hAnsi="黑体" w:eastAsia="黑体" w:cs="Times New Roman"/>
                <w:color w:val="000000"/>
                <w:sz w:val="28"/>
                <w:szCs w:val="28"/>
                <w:highlight w:val="none"/>
              </w:rPr>
              <w:t>南昌市</w:t>
            </w:r>
            <w:r>
              <w:rPr>
                <w:rFonts w:hint="eastAsia" w:ascii="黑体" w:hAnsi="黑体" w:eastAsia="黑体" w:cs="Times New Roman"/>
                <w:color w:val="000000"/>
                <w:sz w:val="28"/>
                <w:szCs w:val="28"/>
                <w:highlight w:val="none"/>
                <w:lang w:val="en-US" w:eastAsia="zh-CN"/>
              </w:rPr>
              <w:t>医疗保障局</w:t>
            </w:r>
          </w:p>
        </w:tc>
        <w:tc>
          <w:tcPr>
            <w:tcW w:w="2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黑体" w:eastAsia="黑体" w:cs="Times New Roman"/>
                <w:color w:val="000000"/>
                <w:sz w:val="28"/>
                <w:szCs w:val="28"/>
                <w:highlight w:val="none"/>
              </w:rPr>
            </w:pPr>
            <w:r>
              <w:rPr>
                <w:rFonts w:hint="eastAsia" w:ascii="黑体" w:hAnsi="黑体" w:eastAsia="黑体" w:cs="Times New Roman"/>
                <w:color w:val="000000"/>
                <w:sz w:val="28"/>
                <w:szCs w:val="28"/>
                <w:highlight w:val="none"/>
                <w:lang w:val="en-US" w:eastAsia="zh-CN"/>
              </w:rPr>
              <w:t>党组成员、副局长</w:t>
            </w:r>
          </w:p>
        </w:tc>
        <w:tc>
          <w:tcPr>
            <w:tcW w:w="170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黑体" w:eastAsia="黑体" w:cs="Times New Roman"/>
                <w:color w:val="000000"/>
                <w:sz w:val="28"/>
                <w:szCs w:val="28"/>
                <w:highlight w:val="none"/>
              </w:rPr>
            </w:pPr>
            <w:r>
              <w:rPr>
                <w:rFonts w:hint="eastAsia" w:ascii="黑体" w:hAnsi="黑体" w:eastAsia="黑体" w:cs="Times New Roman"/>
                <w:color w:val="000000"/>
                <w:sz w:val="28"/>
                <w:szCs w:val="28"/>
                <w:highlight w:val="none"/>
                <w:lang w:val="en-US" w:eastAsia="zh-CN"/>
              </w:rPr>
              <w:t>刘凯</w:t>
            </w:r>
          </w:p>
        </w:tc>
        <w:tc>
          <w:tcPr>
            <w:tcW w:w="320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黑体" w:eastAsia="黑体" w:cs="Times New Roman"/>
                <w:color w:val="000000"/>
                <w:sz w:val="28"/>
                <w:szCs w:val="28"/>
                <w:highlight w:val="none"/>
              </w:rPr>
            </w:pPr>
            <w:r>
              <w:rPr>
                <w:rFonts w:hint="eastAsia" w:ascii="黑体" w:hAnsi="黑体" w:eastAsia="黑体" w:cs="Times New Roman"/>
                <w:color w:val="000000"/>
                <w:sz w:val="28"/>
                <w:szCs w:val="28"/>
                <w:highlight w:val="none"/>
              </w:rPr>
              <w:t>南昌市</w:t>
            </w:r>
            <w:r>
              <w:rPr>
                <w:rFonts w:hint="eastAsia" w:ascii="黑体" w:hAnsi="黑体" w:eastAsia="黑体" w:cs="Times New Roman"/>
                <w:color w:val="000000"/>
                <w:sz w:val="28"/>
                <w:szCs w:val="28"/>
                <w:highlight w:val="none"/>
                <w:lang w:val="en-US" w:eastAsia="zh-CN"/>
              </w:rPr>
              <w:t>医疗保障局</w:t>
            </w:r>
          </w:p>
        </w:tc>
        <w:tc>
          <w:tcPr>
            <w:tcW w:w="2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黑体" w:eastAsia="黑体" w:cs="Times New Roman"/>
                <w:color w:val="000000"/>
                <w:sz w:val="28"/>
                <w:szCs w:val="28"/>
                <w:highlight w:val="none"/>
              </w:rPr>
            </w:pPr>
            <w:r>
              <w:rPr>
                <w:rFonts w:hint="eastAsia" w:ascii="黑体" w:hAnsi="黑体" w:eastAsia="黑体" w:cs="Times New Roman"/>
                <w:color w:val="000000"/>
                <w:sz w:val="28"/>
                <w:szCs w:val="28"/>
                <w:highlight w:val="none"/>
                <w:lang w:val="en-US" w:eastAsia="zh-CN"/>
              </w:rPr>
              <w:t>办公室主任</w:t>
            </w:r>
          </w:p>
        </w:tc>
        <w:tc>
          <w:tcPr>
            <w:tcW w:w="170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黑体" w:eastAsia="黑体" w:cs="Times New Roman"/>
                <w:color w:val="000000"/>
                <w:sz w:val="28"/>
                <w:szCs w:val="28"/>
                <w:highlight w:val="none"/>
              </w:rPr>
            </w:pPr>
            <w:r>
              <w:rPr>
                <w:rFonts w:hint="eastAsia" w:ascii="黑体" w:hAnsi="黑体" w:eastAsia="黑体" w:cs="Times New Roman"/>
                <w:color w:val="000000"/>
                <w:sz w:val="28"/>
                <w:szCs w:val="28"/>
                <w:highlight w:val="none"/>
                <w:lang w:val="en-US" w:eastAsia="zh-CN"/>
              </w:rPr>
              <w:t>朱桂云</w:t>
            </w:r>
          </w:p>
        </w:tc>
        <w:tc>
          <w:tcPr>
            <w:tcW w:w="320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黑体" w:eastAsia="黑体" w:cs="Times New Roman"/>
                <w:color w:val="000000"/>
                <w:sz w:val="28"/>
                <w:szCs w:val="28"/>
                <w:highlight w:val="none"/>
              </w:rPr>
            </w:pPr>
            <w:r>
              <w:rPr>
                <w:rFonts w:hint="eastAsia" w:ascii="黑体" w:hAnsi="黑体" w:eastAsia="黑体" w:cs="Times New Roman"/>
                <w:color w:val="000000"/>
                <w:sz w:val="28"/>
                <w:szCs w:val="28"/>
                <w:highlight w:val="none"/>
              </w:rPr>
              <w:t>南昌市</w:t>
            </w:r>
            <w:r>
              <w:rPr>
                <w:rFonts w:hint="eastAsia" w:ascii="黑体" w:hAnsi="黑体" w:eastAsia="黑体" w:cs="Times New Roman"/>
                <w:color w:val="000000"/>
                <w:sz w:val="28"/>
                <w:szCs w:val="28"/>
                <w:highlight w:val="none"/>
                <w:lang w:val="en-US" w:eastAsia="zh-CN"/>
              </w:rPr>
              <w:t>医疗保障局</w:t>
            </w:r>
          </w:p>
        </w:tc>
        <w:tc>
          <w:tcPr>
            <w:tcW w:w="2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黑体" w:eastAsia="黑体" w:cs="Times New Roman"/>
                <w:color w:val="000000"/>
                <w:sz w:val="28"/>
                <w:szCs w:val="28"/>
                <w:highlight w:val="none"/>
              </w:rPr>
            </w:pPr>
            <w:r>
              <w:rPr>
                <w:rFonts w:hint="eastAsia" w:ascii="黑体" w:hAnsi="黑体" w:eastAsia="黑体" w:cs="Times New Roman"/>
                <w:color w:val="000000"/>
                <w:sz w:val="28"/>
                <w:szCs w:val="28"/>
                <w:highlight w:val="none"/>
                <w:lang w:val="en-US" w:eastAsia="zh-CN"/>
              </w:rPr>
              <w:t>财务室会计</w:t>
            </w:r>
          </w:p>
        </w:tc>
        <w:tc>
          <w:tcPr>
            <w:tcW w:w="170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320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2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170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320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2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170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320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2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r>
              <w:rPr>
                <w:rFonts w:hint="eastAsia" w:ascii="黑体" w:hAnsi="宋体" w:eastAsia="黑体"/>
                <w:color w:val="000000"/>
                <w:sz w:val="28"/>
                <w:szCs w:val="28"/>
                <w:highlight w:val="none"/>
              </w:rPr>
              <w:t xml:space="preserve">  </w:t>
            </w:r>
          </w:p>
        </w:tc>
        <w:tc>
          <w:tcPr>
            <w:tcW w:w="170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320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2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170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320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2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170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320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2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170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r>
      <w:tr>
        <w:tblPrEx>
          <w:tblCellMar>
            <w:top w:w="0" w:type="dxa"/>
            <w:left w:w="108" w:type="dxa"/>
            <w:bottom w:w="0" w:type="dxa"/>
            <w:right w:w="108" w:type="dxa"/>
          </w:tblCellMar>
        </w:tblPrEx>
        <w:trPr>
          <w:trHeight w:val="1439" w:hRule="atLeast"/>
          <w:jc w:val="center"/>
        </w:trPr>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left"/>
              <w:textAlignment w:val="center"/>
              <w:rPr>
                <w:rFonts w:hint="eastAsia" w:ascii="黑体" w:hAnsi="宋体" w:eastAsia="黑体"/>
                <w:color w:val="000000"/>
                <w:sz w:val="28"/>
                <w:szCs w:val="28"/>
                <w:highlight w:val="none"/>
              </w:rPr>
            </w:pPr>
            <w:r>
              <w:rPr>
                <w:rFonts w:hint="eastAsia" w:ascii="黑体" w:hAnsi="宋体" w:eastAsia="黑体"/>
                <w:color w:val="000000"/>
                <w:sz w:val="28"/>
                <w:szCs w:val="28"/>
                <w:highlight w:val="none"/>
              </w:rPr>
              <w:t>评价组组长</w:t>
            </w:r>
          </w:p>
          <w:p>
            <w:pPr>
              <w:autoSpaceDN w:val="0"/>
              <w:spacing w:line="300" w:lineRule="exact"/>
              <w:jc w:val="left"/>
              <w:textAlignment w:val="center"/>
              <w:rPr>
                <w:rFonts w:hint="eastAsia" w:ascii="黑体" w:hAnsi="宋体" w:eastAsia="黑体"/>
                <w:color w:val="000000"/>
                <w:sz w:val="28"/>
                <w:szCs w:val="28"/>
                <w:highlight w:val="none"/>
              </w:rPr>
            </w:pPr>
            <w:r>
              <w:rPr>
                <w:rFonts w:hint="eastAsia" w:ascii="黑体" w:hAnsi="宋体" w:eastAsia="黑体"/>
                <w:color w:val="000000"/>
                <w:sz w:val="28"/>
                <w:szCs w:val="28"/>
                <w:highlight w:val="none"/>
              </w:rPr>
              <w:t>(签名):</w:t>
            </w:r>
          </w:p>
        </w:tc>
        <w:tc>
          <w:tcPr>
            <w:tcW w:w="320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387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r>
              <w:rPr>
                <w:rFonts w:hint="eastAsia" w:ascii="黑体" w:hAnsi="宋体" w:eastAsia="黑体"/>
                <w:color w:val="000000"/>
                <w:sz w:val="28"/>
                <w:szCs w:val="28"/>
                <w:highlight w:val="none"/>
              </w:rPr>
              <w:t xml:space="preserve">      年    月    日</w:t>
            </w:r>
          </w:p>
        </w:tc>
      </w:tr>
      <w:tr>
        <w:tblPrEx>
          <w:tblCellMar>
            <w:top w:w="0" w:type="dxa"/>
            <w:left w:w="108" w:type="dxa"/>
            <w:bottom w:w="0" w:type="dxa"/>
            <w:right w:w="108" w:type="dxa"/>
          </w:tblCellMar>
        </w:tblPrEx>
        <w:trPr>
          <w:trHeight w:val="1602" w:hRule="atLeast"/>
          <w:jc w:val="center"/>
        </w:trPr>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left"/>
              <w:textAlignment w:val="center"/>
              <w:rPr>
                <w:rFonts w:hint="eastAsia" w:ascii="黑体" w:hAnsi="宋体" w:eastAsia="黑体"/>
                <w:color w:val="000000"/>
                <w:sz w:val="28"/>
                <w:szCs w:val="28"/>
                <w:highlight w:val="none"/>
              </w:rPr>
            </w:pPr>
            <w:r>
              <w:rPr>
                <w:rFonts w:hint="eastAsia" w:ascii="黑体" w:hAnsi="宋体" w:eastAsia="黑体"/>
                <w:color w:val="000000"/>
                <w:sz w:val="28"/>
                <w:szCs w:val="28"/>
                <w:highlight w:val="none"/>
              </w:rPr>
              <w:t>中介机构</w:t>
            </w:r>
          </w:p>
          <w:p>
            <w:pPr>
              <w:autoSpaceDN w:val="0"/>
              <w:spacing w:line="300" w:lineRule="exact"/>
              <w:jc w:val="left"/>
              <w:textAlignment w:val="center"/>
              <w:rPr>
                <w:rFonts w:hint="eastAsia" w:ascii="黑体" w:hAnsi="宋体" w:eastAsia="黑体"/>
                <w:color w:val="000000"/>
                <w:sz w:val="28"/>
                <w:szCs w:val="28"/>
                <w:highlight w:val="none"/>
              </w:rPr>
            </w:pPr>
            <w:r>
              <w:rPr>
                <w:rFonts w:hint="eastAsia" w:ascii="黑体" w:hAnsi="宋体" w:eastAsia="黑体"/>
                <w:color w:val="000000"/>
                <w:sz w:val="28"/>
                <w:szCs w:val="28"/>
                <w:highlight w:val="none"/>
              </w:rPr>
              <w:t>（盖章）:</w:t>
            </w:r>
          </w:p>
        </w:tc>
        <w:tc>
          <w:tcPr>
            <w:tcW w:w="320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p>
        </w:tc>
        <w:tc>
          <w:tcPr>
            <w:tcW w:w="387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黑体" w:hAnsi="宋体" w:eastAsia="黑体"/>
                <w:color w:val="000000"/>
                <w:sz w:val="28"/>
                <w:szCs w:val="28"/>
                <w:highlight w:val="none"/>
              </w:rPr>
            </w:pPr>
            <w:r>
              <w:rPr>
                <w:rFonts w:hint="eastAsia" w:ascii="黑体" w:hAnsi="宋体" w:eastAsia="黑体"/>
                <w:color w:val="000000"/>
                <w:sz w:val="28"/>
                <w:szCs w:val="28"/>
                <w:highlight w:val="none"/>
              </w:rPr>
              <w:t xml:space="preserve">      年    月    日</w:t>
            </w:r>
          </w:p>
        </w:tc>
      </w:tr>
    </w:tbl>
    <w:p>
      <w:pPr>
        <w:jc w:val="left"/>
        <w:rPr>
          <w:rFonts w:hint="eastAsia" w:ascii="黑体" w:hAnsi="宋体" w:eastAsia="黑体"/>
          <w:color w:val="000000"/>
          <w:sz w:val="24"/>
          <w:szCs w:val="24"/>
          <w:highlight w:val="none"/>
        </w:rPr>
      </w:pPr>
    </w:p>
    <w:p>
      <w:pPr>
        <w:pStyle w:val="4"/>
        <w:rPr>
          <w:rFonts w:hint="default" w:ascii="黑体" w:hAnsi="宋体" w:eastAsia="黑体" w:cs="Times New Roman"/>
          <w:b w:val="0"/>
          <w:bCs w:val="0"/>
          <w:color w:val="000000"/>
          <w:kern w:val="2"/>
          <w:sz w:val="24"/>
          <w:szCs w:val="24"/>
          <w:highlight w:val="none"/>
          <w:lang w:val="en-US" w:eastAsia="zh-CN" w:bidi="ar-SA"/>
        </w:rPr>
      </w:pPr>
      <w:r>
        <w:rPr>
          <w:rFonts w:hint="eastAsia" w:ascii="黑体" w:hAnsi="宋体" w:eastAsia="黑体" w:cs="Times New Roman"/>
          <w:b w:val="0"/>
          <w:bCs w:val="0"/>
          <w:color w:val="000000"/>
          <w:kern w:val="2"/>
          <w:sz w:val="24"/>
          <w:szCs w:val="24"/>
          <w:highlight w:val="none"/>
          <w:lang w:val="en-US" w:eastAsia="zh-CN" w:bidi="ar-SA"/>
        </w:rPr>
        <w:t>注：1.评价小组须不低于3人，如未委托第三方机构，则最后一行无需填写；</w:t>
      </w:r>
      <w:r>
        <w:rPr>
          <w:rFonts w:hint="eastAsia" w:ascii="黑体" w:hAnsi="宋体" w:eastAsia="黑体" w:cs="Times New Roman"/>
          <w:b w:val="0"/>
          <w:bCs w:val="0"/>
          <w:color w:val="000000"/>
          <w:kern w:val="2"/>
          <w:sz w:val="24"/>
          <w:szCs w:val="24"/>
          <w:highlight w:val="none"/>
          <w:lang w:val="en-US" w:eastAsia="zh-CN" w:bidi="ar-SA"/>
        </w:rPr>
        <w:br w:type="textWrapping"/>
      </w:r>
      <w:r>
        <w:rPr>
          <w:rFonts w:hint="eastAsia" w:ascii="黑体" w:hAnsi="宋体" w:eastAsia="黑体" w:cs="Times New Roman"/>
          <w:b w:val="0"/>
          <w:bCs w:val="0"/>
          <w:color w:val="000000"/>
          <w:kern w:val="2"/>
          <w:sz w:val="24"/>
          <w:szCs w:val="24"/>
          <w:highlight w:val="none"/>
          <w:lang w:val="en-US" w:eastAsia="zh-CN" w:bidi="ar-SA"/>
        </w:rPr>
        <w:t xml:space="preserve">    2.所有评价人员必须亲笔签名，否则评价无效。</w:t>
      </w:r>
    </w:p>
    <w:p>
      <w:pPr>
        <w:rPr>
          <w:rFonts w:hint="eastAsia" w:ascii="黑体" w:hAnsi="黑体" w:eastAsia="黑体" w:cs="黑体"/>
          <w:bCs/>
          <w:color w:val="000000"/>
          <w:sz w:val="32"/>
          <w:szCs w:val="32"/>
          <w:highlight w:val="none"/>
          <w:lang w:eastAsia="zh-CN"/>
        </w:rPr>
      </w:pPr>
      <w:r>
        <w:rPr>
          <w:rFonts w:hint="eastAsia" w:ascii="黑体" w:hAnsi="黑体" w:eastAsia="黑体" w:cs="黑体"/>
          <w:bCs/>
          <w:color w:val="000000"/>
          <w:sz w:val="32"/>
          <w:szCs w:val="32"/>
          <w:highlight w:val="none"/>
          <w:lang w:eastAsia="zh-CN"/>
        </w:rPr>
        <w:br w:type="page"/>
      </w:r>
    </w:p>
    <w:p>
      <w:pPr>
        <w:jc w:val="center"/>
        <w:rPr>
          <w:rFonts w:hint="eastAsia" w:ascii="黑体" w:hAnsi="黑体" w:eastAsia="黑体" w:cs="黑体"/>
          <w:bCs/>
          <w:color w:val="000000"/>
          <w:sz w:val="44"/>
          <w:szCs w:val="44"/>
          <w:highlight w:val="none"/>
        </w:rPr>
      </w:pPr>
      <w:r>
        <w:rPr>
          <w:rFonts w:hint="eastAsia" w:ascii="黑体" w:hAnsi="黑体" w:eastAsia="黑体" w:cs="黑体"/>
          <w:bCs/>
          <w:color w:val="000000"/>
          <w:sz w:val="32"/>
          <w:szCs w:val="32"/>
          <w:highlight w:val="none"/>
          <w:lang w:eastAsia="zh-CN"/>
        </w:rPr>
        <w:t>南昌市医疗保险事业管理处</w:t>
      </w:r>
      <w:r>
        <w:rPr>
          <w:rFonts w:hint="eastAsia" w:ascii="黑体" w:hAnsi="黑体" w:eastAsia="黑体" w:cs="黑体"/>
          <w:bCs/>
          <w:color w:val="000000"/>
          <w:sz w:val="32"/>
          <w:szCs w:val="32"/>
          <w:highlight w:val="none"/>
        </w:rPr>
        <w:t>项目支出绩效评价报告</w:t>
      </w:r>
    </w:p>
    <w:p>
      <w:pPr>
        <w:jc w:val="center"/>
        <w:rPr>
          <w:rFonts w:ascii="黑体" w:hAnsi="黑体" w:eastAsia="黑体" w:cs="黑体"/>
          <w:bCs/>
          <w:color w:val="000000"/>
          <w:sz w:val="32"/>
          <w:szCs w:val="32"/>
          <w:highlight w:val="none"/>
        </w:rPr>
      </w:pP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w:t>
      </w:r>
      <w:r>
        <w:rPr>
          <w:rFonts w:hint="eastAsia" w:ascii="仿宋_GB2312" w:hAnsi="仿宋_GB2312" w:eastAsia="仿宋_GB2312" w:cs="仿宋_GB2312"/>
          <w:sz w:val="32"/>
          <w:szCs w:val="32"/>
          <w:highlight w:val="none"/>
          <w:lang w:val="en-US" w:eastAsia="zh-CN"/>
        </w:rPr>
        <w:t>中共南昌市委 南昌市人民</w:t>
      </w:r>
      <w:r>
        <w:rPr>
          <w:rFonts w:hint="eastAsia" w:ascii="仿宋_GB2312" w:hAnsi="仿宋_GB2312" w:eastAsia="仿宋_GB2312" w:cs="仿宋_GB2312"/>
          <w:sz w:val="32"/>
          <w:szCs w:val="32"/>
          <w:highlight w:val="none"/>
        </w:rPr>
        <w:t>政府关于</w:t>
      </w:r>
      <w:r>
        <w:rPr>
          <w:rFonts w:hint="eastAsia" w:ascii="仿宋_GB2312" w:hAnsi="仿宋_GB2312" w:eastAsia="仿宋_GB2312" w:cs="仿宋_GB2312"/>
          <w:sz w:val="32"/>
          <w:szCs w:val="32"/>
          <w:highlight w:val="none"/>
          <w:lang w:val="en-US" w:eastAsia="zh-CN"/>
        </w:rPr>
        <w:t>全面实施预算绩效管理的实施意见》</w:t>
      </w:r>
      <w:r>
        <w:rPr>
          <w:rFonts w:hint="eastAsia" w:ascii="仿宋_GB2312" w:hAnsi="仿宋_GB2312" w:eastAsia="仿宋_GB2312" w:cs="仿宋_GB2312"/>
          <w:sz w:val="32"/>
          <w:szCs w:val="32"/>
          <w:highlight w:val="none"/>
        </w:rPr>
        <w:t>（洪发〔201</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13</w:t>
      </w:r>
      <w:r>
        <w:rPr>
          <w:rFonts w:hint="eastAsia" w:ascii="仿宋_GB2312" w:hAnsi="仿宋_GB2312" w:eastAsia="仿宋_GB2312" w:cs="仿宋_GB2312"/>
          <w:sz w:val="32"/>
          <w:szCs w:val="32"/>
          <w:highlight w:val="none"/>
        </w:rPr>
        <w:t>号）</w:t>
      </w:r>
      <w:r>
        <w:rPr>
          <w:rFonts w:hint="eastAsia" w:ascii="仿宋_GB2312" w:hAnsi="仿宋_GB2312" w:eastAsia="仿宋_GB2312" w:cs="仿宋_GB2312"/>
          <w:sz w:val="32"/>
          <w:szCs w:val="32"/>
          <w:highlight w:val="none"/>
          <w:lang w:val="en-US" w:eastAsia="zh-CN"/>
        </w:rPr>
        <w:t>及《南昌市财政项目支出绩效评价管理办法》（洪财办</w:t>
      </w: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44</w:t>
      </w:r>
      <w:r>
        <w:rPr>
          <w:rFonts w:hint="eastAsia" w:ascii="仿宋_GB2312" w:hAnsi="仿宋_GB2312" w:eastAsia="仿宋_GB2312" w:cs="仿宋_GB2312"/>
          <w:sz w:val="32"/>
          <w:szCs w:val="32"/>
          <w:highlight w:val="none"/>
        </w:rPr>
        <w:t>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文件精神，为落实</w:t>
      </w:r>
      <w:r>
        <w:rPr>
          <w:rFonts w:hint="eastAsia" w:ascii="仿宋_GB2312" w:hAnsi="仿宋_GB2312" w:eastAsia="仿宋_GB2312" w:cs="仿宋_GB2312"/>
          <w:sz w:val="32"/>
          <w:szCs w:val="32"/>
          <w:highlight w:val="none"/>
          <w:lang w:eastAsia="zh-CN"/>
        </w:rPr>
        <w:t>南昌市医疗保险事业管理处</w:t>
      </w:r>
      <w:r>
        <w:rPr>
          <w:rFonts w:hint="eastAsia" w:ascii="仿宋_GB2312" w:hAnsi="仿宋_GB2312" w:eastAsia="仿宋_GB2312" w:cs="仿宋_GB2312"/>
          <w:sz w:val="32"/>
          <w:szCs w:val="32"/>
          <w:highlight w:val="none"/>
          <w:lang w:val="en-US" w:eastAsia="zh-CN"/>
        </w:rPr>
        <w:t>2020年度</w:t>
      </w:r>
      <w:r>
        <w:rPr>
          <w:rFonts w:hint="eastAsia" w:ascii="仿宋_GB2312" w:hAnsi="仿宋_GB2312" w:eastAsia="仿宋_GB2312" w:cs="仿宋_GB2312"/>
          <w:sz w:val="32"/>
          <w:szCs w:val="32"/>
          <w:highlight w:val="none"/>
        </w:rPr>
        <w:t>预算</w:t>
      </w:r>
      <w:r>
        <w:rPr>
          <w:rFonts w:ascii="仿宋_GB2312" w:hAnsi="仿宋_GB2312" w:eastAsia="仿宋_GB2312" w:cs="仿宋_GB2312"/>
          <w:sz w:val="32"/>
          <w:szCs w:val="32"/>
          <w:highlight w:val="none"/>
        </w:rPr>
        <w:t>绩效管理工作</w:t>
      </w:r>
      <w:r>
        <w:rPr>
          <w:rFonts w:hint="eastAsia" w:ascii="仿宋_GB2312" w:hAnsi="仿宋_GB2312" w:eastAsia="仿宋_GB2312" w:cs="仿宋_GB2312"/>
          <w:sz w:val="32"/>
          <w:szCs w:val="32"/>
          <w:highlight w:val="none"/>
        </w:rPr>
        <w:t>，结合</w:t>
      </w:r>
      <w:r>
        <w:rPr>
          <w:rFonts w:hint="eastAsia" w:ascii="仿宋_GB2312" w:hAnsi="仿宋_GB2312" w:eastAsia="仿宋_GB2312" w:cs="仿宋_GB2312"/>
          <w:sz w:val="32"/>
          <w:szCs w:val="32"/>
          <w:highlight w:val="none"/>
          <w:lang w:val="en-US" w:eastAsia="zh-CN"/>
        </w:rPr>
        <w:t>市医保局</w:t>
      </w:r>
      <w:r>
        <w:rPr>
          <w:rFonts w:hint="eastAsia" w:ascii="仿宋_GB2312" w:hAnsi="仿宋_GB2312" w:eastAsia="仿宋_GB2312" w:cs="仿宋_GB2312"/>
          <w:sz w:val="32"/>
          <w:szCs w:val="32"/>
          <w:highlight w:val="none"/>
        </w:rPr>
        <w:t>工作实际，</w:t>
      </w:r>
      <w:r>
        <w:rPr>
          <w:rFonts w:hint="eastAsia" w:ascii="仿宋_GB2312" w:hAnsi="仿宋_GB2312" w:eastAsia="仿宋_GB2312" w:cs="仿宋_GB2312"/>
          <w:sz w:val="32"/>
          <w:szCs w:val="32"/>
          <w:highlight w:val="none"/>
          <w:lang w:eastAsia="zh-CN"/>
        </w:rPr>
        <w:t>我局</w:t>
      </w:r>
      <w:r>
        <w:rPr>
          <w:rFonts w:hint="eastAsia" w:ascii="仿宋_GB2312" w:hAnsi="仿宋_GB2312" w:eastAsia="仿宋_GB2312" w:cs="仿宋_GB2312"/>
          <w:sz w:val="32"/>
          <w:szCs w:val="32"/>
          <w:highlight w:val="none"/>
        </w:rPr>
        <w:t>对2020年度</w:t>
      </w:r>
      <w:r>
        <w:rPr>
          <w:rFonts w:hint="eastAsia" w:ascii="仿宋_GB2312" w:hAnsi="仿宋_GB2312" w:eastAsia="仿宋_GB2312" w:cs="仿宋_GB2312"/>
          <w:sz w:val="32"/>
          <w:szCs w:val="32"/>
          <w:highlight w:val="none"/>
          <w:lang w:eastAsia="zh-CN"/>
        </w:rPr>
        <w:t>南昌市医疗保险事业管理处</w:t>
      </w:r>
      <w:r>
        <w:rPr>
          <w:rFonts w:hint="eastAsia" w:ascii="仿宋_GB2312" w:hAnsi="仿宋_GB2312" w:eastAsia="仿宋_GB2312" w:cs="仿宋_GB2312"/>
          <w:sz w:val="32"/>
          <w:szCs w:val="32"/>
          <w:highlight w:val="none"/>
        </w:rPr>
        <w:t>项目进行了绩效评价。现将评价情况报告如下：</w:t>
      </w:r>
    </w:p>
    <w:p>
      <w:pPr>
        <w:keepNext w:val="0"/>
        <w:keepLines w:val="0"/>
        <w:pageBreakBefore w:val="0"/>
        <w:widowControl w:val="0"/>
        <w:kinsoku/>
        <w:wordWrap/>
        <w:overflowPunct/>
        <w:topLinePunct w:val="0"/>
        <w:autoSpaceDE/>
        <w:autoSpaceDN/>
        <w:bidi w:val="0"/>
        <w:spacing w:line="600" w:lineRule="exact"/>
        <w:ind w:left="0" w:firstLine="560" w:firstLineChars="200"/>
        <w:textAlignment w:val="auto"/>
        <w:rPr>
          <w:rFonts w:hint="eastAsia" w:ascii="黑体" w:hAnsi="黑体" w:eastAsia="黑体" w:cs="Times New Roman"/>
          <w:color w:val="000000"/>
          <w:sz w:val="28"/>
          <w:szCs w:val="28"/>
          <w:highlight w:val="none"/>
        </w:rPr>
      </w:pPr>
      <w:r>
        <w:rPr>
          <w:rFonts w:hint="eastAsia" w:ascii="黑体" w:hAnsi="黑体" w:eastAsia="黑体" w:cs="Times New Roman"/>
          <w:color w:val="000000"/>
          <w:sz w:val="28"/>
          <w:szCs w:val="28"/>
          <w:highlight w:val="none"/>
        </w:rPr>
        <w:t>一、基本情况</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562" w:firstLineChars="200"/>
        <w:textAlignment w:val="auto"/>
        <w:outlineLvl w:val="0"/>
        <w:rPr>
          <w:rFonts w:hint="eastAsia" w:ascii="楷体_GB2312" w:eastAsia="楷体_GB2312"/>
          <w:b/>
          <w:color w:val="000000"/>
          <w:sz w:val="28"/>
          <w:szCs w:val="28"/>
          <w:highlight w:val="none"/>
        </w:rPr>
      </w:pPr>
      <w:r>
        <w:rPr>
          <w:rFonts w:hint="eastAsia" w:ascii="楷体_GB2312" w:eastAsia="楷体_GB2312"/>
          <w:b/>
          <w:color w:val="000000"/>
          <w:sz w:val="28"/>
          <w:szCs w:val="28"/>
          <w:highlight w:val="none"/>
        </w:rPr>
        <w:t>项目概况</w:t>
      </w:r>
    </w:p>
    <w:p>
      <w:pPr>
        <w:keepNext w:val="0"/>
        <w:keepLines w:val="0"/>
        <w:pageBreakBefore w:val="0"/>
        <w:widowControl w:val="0"/>
        <w:kinsoku/>
        <w:wordWrap/>
        <w:overflowPunct/>
        <w:topLinePunct w:val="0"/>
        <w:autoSpaceDE/>
        <w:autoSpaceDN/>
        <w:bidi w:val="0"/>
        <w:spacing w:line="600" w:lineRule="exact"/>
        <w:ind w:left="0" w:firstLine="560" w:firstLineChars="200"/>
        <w:textAlignment w:val="auto"/>
        <w:outlineLvl w:val="0"/>
        <w:rPr>
          <w:rFonts w:hint="eastAsia" w:ascii="黑体" w:hAnsi="黑体" w:eastAsia="黑体" w:cs="黑体"/>
          <w:sz w:val="28"/>
          <w:szCs w:val="28"/>
          <w:highlight w:val="none"/>
        </w:rPr>
      </w:pPr>
      <w:r>
        <w:rPr>
          <w:rFonts w:hint="eastAsia" w:ascii="黑体" w:hAnsi="黑体" w:eastAsia="黑体" w:cs="黑体"/>
          <w:sz w:val="28"/>
          <w:szCs w:val="28"/>
          <w:highlight w:val="none"/>
        </w:rPr>
        <w:t>1、项目背景</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 w:hAnsi="仿宋" w:eastAsia="仿宋"/>
          <w:sz w:val="32"/>
          <w:szCs w:val="32"/>
          <w:highlight w:val="none"/>
        </w:rPr>
      </w:pPr>
      <w:r>
        <w:rPr>
          <w:rFonts w:hint="eastAsia" w:ascii="仿宋_GB2312" w:hAnsi="仿宋_GB2312" w:eastAsia="仿宋_GB2312" w:cs="仿宋_GB2312"/>
          <w:sz w:val="32"/>
          <w:szCs w:val="32"/>
          <w:highlight w:val="none"/>
        </w:rPr>
        <w:t>根据</w:t>
      </w:r>
      <w:r>
        <w:rPr>
          <w:rFonts w:hint="eastAsia" w:ascii="仿宋_GB2312" w:hAnsi="仿宋_GB2312" w:eastAsia="仿宋_GB2312" w:cs="仿宋_GB2312"/>
          <w:sz w:val="32"/>
          <w:szCs w:val="32"/>
          <w:highlight w:val="none"/>
          <w:lang w:eastAsia="zh-CN"/>
        </w:rPr>
        <w:t>南昌市医疗保险事业管理处</w:t>
      </w:r>
      <w:r>
        <w:rPr>
          <w:rFonts w:hint="eastAsia" w:ascii="仿宋_GB2312" w:hAnsi="仿宋_GB2312" w:eastAsia="仿宋_GB2312" w:cs="仿宋_GB2312"/>
          <w:sz w:val="32"/>
          <w:szCs w:val="32"/>
          <w:highlight w:val="none"/>
        </w:rPr>
        <w:t>工作职责，现按照《</w:t>
      </w:r>
      <w:r>
        <w:rPr>
          <w:rFonts w:hint="eastAsia" w:ascii="仿宋_GB2312" w:hAnsi="仿宋_GB2312" w:eastAsia="仿宋_GB2312" w:cs="仿宋_GB2312"/>
          <w:sz w:val="32"/>
          <w:szCs w:val="32"/>
          <w:highlight w:val="none"/>
          <w:lang w:val="en-US" w:eastAsia="zh-CN"/>
        </w:rPr>
        <w:t>中共南昌市委 南昌市人民</w:t>
      </w:r>
      <w:r>
        <w:rPr>
          <w:rFonts w:hint="eastAsia" w:ascii="仿宋_GB2312" w:hAnsi="仿宋_GB2312" w:eastAsia="仿宋_GB2312" w:cs="仿宋_GB2312"/>
          <w:sz w:val="32"/>
          <w:szCs w:val="32"/>
          <w:highlight w:val="none"/>
        </w:rPr>
        <w:t>政府关于</w:t>
      </w:r>
      <w:r>
        <w:rPr>
          <w:rFonts w:hint="eastAsia" w:ascii="仿宋_GB2312" w:hAnsi="仿宋_GB2312" w:eastAsia="仿宋_GB2312" w:cs="仿宋_GB2312"/>
          <w:sz w:val="32"/>
          <w:szCs w:val="32"/>
          <w:highlight w:val="none"/>
          <w:lang w:val="en-US" w:eastAsia="zh-CN"/>
        </w:rPr>
        <w:t>全面实施预算绩效管理的实施意见》</w:t>
      </w:r>
      <w:r>
        <w:rPr>
          <w:rFonts w:hint="eastAsia" w:ascii="仿宋_GB2312" w:hAnsi="仿宋_GB2312" w:eastAsia="仿宋_GB2312" w:cs="仿宋_GB2312"/>
          <w:sz w:val="32"/>
          <w:szCs w:val="32"/>
          <w:highlight w:val="none"/>
        </w:rPr>
        <w:t>（洪发〔201</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13</w:t>
      </w:r>
      <w:r>
        <w:rPr>
          <w:rFonts w:hint="eastAsia" w:ascii="仿宋_GB2312" w:hAnsi="仿宋_GB2312" w:eastAsia="仿宋_GB2312" w:cs="仿宋_GB2312"/>
          <w:sz w:val="32"/>
          <w:szCs w:val="32"/>
          <w:highlight w:val="none"/>
        </w:rPr>
        <w:t>号）</w:t>
      </w:r>
      <w:r>
        <w:rPr>
          <w:rFonts w:hint="eastAsia" w:ascii="仿宋_GB2312" w:hAnsi="仿宋_GB2312" w:eastAsia="仿宋_GB2312" w:cs="仿宋_GB2312"/>
          <w:sz w:val="32"/>
          <w:szCs w:val="32"/>
          <w:highlight w:val="none"/>
          <w:lang w:val="en-US" w:eastAsia="zh-CN"/>
        </w:rPr>
        <w:t>及《南昌市财政项目支出绩效评价管理办法》（洪财办</w:t>
      </w: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44</w:t>
      </w:r>
      <w:r>
        <w:rPr>
          <w:rFonts w:hint="eastAsia" w:ascii="仿宋_GB2312" w:hAnsi="仿宋_GB2312" w:eastAsia="仿宋_GB2312" w:cs="仿宋_GB2312"/>
          <w:sz w:val="32"/>
          <w:szCs w:val="32"/>
          <w:highlight w:val="none"/>
        </w:rPr>
        <w:t>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文件精神，</w:t>
      </w:r>
      <w:r>
        <w:rPr>
          <w:rFonts w:hint="default" w:ascii="仿宋_GB2312" w:hAnsi="仿宋_GB2312" w:eastAsia="仿宋_GB2312" w:cs="仿宋_GB2312"/>
          <w:sz w:val="32"/>
          <w:szCs w:val="32"/>
          <w:highlight w:val="none"/>
          <w:lang w:val="en-US"/>
        </w:rPr>
        <w:t>市医保局对</w:t>
      </w:r>
      <w:r>
        <w:rPr>
          <w:rFonts w:hint="eastAsia" w:ascii="仿宋_GB2312" w:hAnsi="仿宋_GB2312" w:eastAsia="仿宋_GB2312" w:cs="仿宋_GB2312"/>
          <w:sz w:val="32"/>
          <w:szCs w:val="32"/>
          <w:highlight w:val="none"/>
          <w:lang w:eastAsia="zh-CN"/>
        </w:rPr>
        <w:t>南昌市医疗保险事业管理处</w:t>
      </w:r>
      <w:r>
        <w:rPr>
          <w:rFonts w:hint="default" w:ascii="仿宋_GB2312" w:hAnsi="仿宋_GB2312" w:eastAsia="仿宋_GB2312" w:cs="仿宋_GB2312"/>
          <w:sz w:val="32"/>
          <w:szCs w:val="32"/>
          <w:highlight w:val="none"/>
          <w:lang w:val="en-US" w:eastAsia="zh-CN"/>
        </w:rPr>
        <w:t>项目</w:t>
      </w:r>
      <w:r>
        <w:rPr>
          <w:rFonts w:hint="eastAsia" w:ascii="仿宋_GB2312" w:hAnsi="仿宋_GB2312" w:eastAsia="仿宋_GB2312" w:cs="仿宋_GB2312"/>
          <w:sz w:val="32"/>
          <w:szCs w:val="32"/>
          <w:highlight w:val="none"/>
        </w:rPr>
        <w:t>开展了2020年度项目绩效评价工作。</w:t>
      </w:r>
    </w:p>
    <w:p>
      <w:pPr>
        <w:keepNext w:val="0"/>
        <w:keepLines w:val="0"/>
        <w:pageBreakBefore w:val="0"/>
        <w:widowControl w:val="0"/>
        <w:kinsoku/>
        <w:wordWrap/>
        <w:overflowPunct/>
        <w:topLinePunct w:val="0"/>
        <w:autoSpaceDE/>
        <w:autoSpaceDN/>
        <w:bidi w:val="0"/>
        <w:spacing w:line="600" w:lineRule="exact"/>
        <w:ind w:left="0" w:firstLine="560" w:firstLineChars="200"/>
        <w:textAlignment w:val="auto"/>
        <w:outlineLvl w:val="0"/>
        <w:rPr>
          <w:rFonts w:hint="eastAsia" w:ascii="黑体" w:hAnsi="黑体" w:eastAsia="黑体" w:cs="黑体"/>
          <w:sz w:val="28"/>
          <w:szCs w:val="28"/>
          <w:highlight w:val="none"/>
        </w:rPr>
      </w:pPr>
      <w:r>
        <w:rPr>
          <w:rFonts w:hint="eastAsia" w:ascii="黑体" w:hAnsi="黑体" w:eastAsia="黑体" w:cs="黑体"/>
          <w:sz w:val="28"/>
          <w:szCs w:val="28"/>
          <w:highlight w:val="none"/>
        </w:rPr>
        <w:t>2、项目主要内容及实施情况</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ascii="仿宋_GB2312" w:eastAsia="仿宋_GB2312"/>
          <w:sz w:val="32"/>
          <w:szCs w:val="32"/>
          <w:highlight w:val="none"/>
        </w:rPr>
      </w:pPr>
      <w:r>
        <w:rPr>
          <w:rFonts w:hint="eastAsia" w:ascii="仿宋_GB2312" w:hAnsi="仿宋_GB2312" w:eastAsia="仿宋_GB2312" w:cs="仿宋_GB2312"/>
          <w:sz w:val="32"/>
          <w:szCs w:val="32"/>
          <w:highlight w:val="none"/>
          <w:lang w:eastAsia="zh-CN"/>
        </w:rPr>
        <w:t>南昌市医疗保险事业管理处医疗保险业务及办公经费补助项目</w:t>
      </w:r>
      <w:r>
        <w:rPr>
          <w:rFonts w:hint="eastAsia" w:ascii="仿宋_GB2312" w:hAnsi="仿宋_GB2312" w:eastAsia="仿宋_GB2312" w:cs="仿宋_GB2312"/>
          <w:sz w:val="32"/>
          <w:szCs w:val="32"/>
          <w:highlight w:val="none"/>
          <w:lang w:val="en-US" w:eastAsia="zh-CN"/>
        </w:rPr>
        <w:t>的</w:t>
      </w:r>
      <w:r>
        <w:rPr>
          <w:rFonts w:hint="eastAsia" w:ascii="仿宋_GB2312" w:hAnsi="仿宋_GB2312" w:eastAsia="仿宋_GB2312" w:cs="仿宋_GB2312"/>
          <w:sz w:val="32"/>
          <w:szCs w:val="32"/>
          <w:highlight w:val="none"/>
        </w:rPr>
        <w:t>主要内容</w:t>
      </w:r>
      <w:r>
        <w:rPr>
          <w:rFonts w:hint="eastAsia" w:ascii="仿宋_GB2312" w:hAnsi="仿宋_GB2312" w:eastAsia="仿宋_GB2312" w:cs="仿宋_GB2312"/>
          <w:sz w:val="32"/>
          <w:szCs w:val="32"/>
          <w:highlight w:val="none"/>
          <w:lang w:val="en-US" w:eastAsia="zh-CN"/>
        </w:rPr>
        <w:t>是通过预算资金项目的实施，健全医保体系建设，进一步深化医保改革，提升医保经办服务水平、加强医保信息化建设等方面下功夫，全力推进我市医疗保障事业高质量发展。</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hint="eastAsia" w:ascii="仿宋_GB2312" w:eastAsia="仿宋_GB2312" w:cs="Times New Roman"/>
          <w:sz w:val="32"/>
          <w:szCs w:val="32"/>
          <w:highlight w:val="none"/>
          <w:lang w:val="en-US" w:eastAsia="zh-CN"/>
        </w:rPr>
      </w:pPr>
      <w:r>
        <w:rPr>
          <w:rFonts w:hint="eastAsia" w:ascii="仿宋_GB2312" w:hAnsi="仿宋_GB2312" w:eastAsia="仿宋_GB2312" w:cs="仿宋_GB2312"/>
          <w:sz w:val="32"/>
          <w:szCs w:val="32"/>
          <w:highlight w:val="none"/>
          <w:lang w:val="en-US" w:eastAsia="zh-CN"/>
        </w:rPr>
        <w:t>通过项目的实施，按照相关文件、政策规定向市民发放医疗、生育等保险待遇，完成了医疗保险等相关业务，保障了医保经办服务的提升，同时为参保人员提供了方便快捷的享受到医疗保险的福利。</w:t>
      </w:r>
    </w:p>
    <w:p>
      <w:pPr>
        <w:keepNext w:val="0"/>
        <w:keepLines w:val="0"/>
        <w:pageBreakBefore w:val="0"/>
        <w:widowControl w:val="0"/>
        <w:kinsoku/>
        <w:wordWrap/>
        <w:overflowPunct/>
        <w:topLinePunct w:val="0"/>
        <w:autoSpaceDE/>
        <w:autoSpaceDN/>
        <w:bidi w:val="0"/>
        <w:spacing w:line="600" w:lineRule="exact"/>
        <w:ind w:left="0" w:firstLine="560" w:firstLineChars="200"/>
        <w:textAlignment w:val="auto"/>
        <w:outlineLvl w:val="0"/>
        <w:rPr>
          <w:rFonts w:hint="eastAsia" w:ascii="黑体" w:hAnsi="黑体" w:eastAsia="黑体" w:cs="黑体"/>
          <w:sz w:val="28"/>
          <w:szCs w:val="28"/>
          <w:highlight w:val="none"/>
        </w:rPr>
      </w:pPr>
      <w:r>
        <w:rPr>
          <w:rFonts w:hint="eastAsia" w:ascii="黑体" w:hAnsi="黑体" w:eastAsia="黑体" w:cs="黑体"/>
          <w:sz w:val="28"/>
          <w:szCs w:val="28"/>
          <w:highlight w:val="none"/>
          <w:lang w:val="en-US" w:eastAsia="zh-CN"/>
        </w:rPr>
        <w:t>3、</w:t>
      </w:r>
      <w:r>
        <w:rPr>
          <w:rFonts w:hint="eastAsia" w:ascii="黑体" w:hAnsi="黑体" w:eastAsia="黑体" w:cs="黑体"/>
          <w:sz w:val="28"/>
          <w:szCs w:val="28"/>
          <w:highlight w:val="none"/>
        </w:rPr>
        <w:t>资金投入和使用情况</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2020年度</w:t>
      </w:r>
      <w:r>
        <w:rPr>
          <w:rFonts w:hint="eastAsia" w:ascii="仿宋_GB2312" w:hAnsi="仿宋_GB2312" w:eastAsia="仿宋_GB2312" w:cs="仿宋_GB2312"/>
          <w:sz w:val="32"/>
          <w:szCs w:val="32"/>
          <w:highlight w:val="none"/>
          <w:lang w:eastAsia="zh-CN"/>
        </w:rPr>
        <w:t>医疗保险业务及办公经费补助项目</w:t>
      </w:r>
      <w:r>
        <w:rPr>
          <w:rFonts w:hint="eastAsia" w:ascii="仿宋_GB2312" w:hAnsi="仿宋_GB2312" w:eastAsia="仿宋_GB2312" w:cs="仿宋_GB2312"/>
          <w:sz w:val="32"/>
          <w:szCs w:val="32"/>
          <w:highlight w:val="none"/>
        </w:rPr>
        <w:t>年初预算金额为364.26万元，实际到位资金364.26万元，全年执行数364.26万元，执行率100%。</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该项目支出</w:t>
      </w:r>
      <w:r>
        <w:rPr>
          <w:rFonts w:hint="eastAsia" w:ascii="仿宋_GB2312" w:hAnsi="仿宋_GB2312" w:eastAsia="仿宋_GB2312" w:cs="仿宋_GB2312"/>
          <w:sz w:val="32"/>
          <w:szCs w:val="32"/>
          <w:highlight w:val="none"/>
        </w:rPr>
        <w:t>364.26</w:t>
      </w:r>
      <w:r>
        <w:rPr>
          <w:rFonts w:hint="eastAsia" w:ascii="仿宋_GB2312" w:hAnsi="仿宋_GB2312" w:eastAsia="仿宋_GB2312" w:cs="仿宋_GB2312"/>
          <w:sz w:val="32"/>
          <w:szCs w:val="32"/>
          <w:highlight w:val="none"/>
          <w:lang w:val="en-US" w:eastAsia="zh-CN"/>
        </w:rPr>
        <w:t>万元，主要使用于医疗、生育保险待遇发放、举办医疗保险等业务宣传、培训工作以及转移业务邮寄单据费等。</w:t>
      </w:r>
      <w:r>
        <w:rPr>
          <w:rFonts w:hint="eastAsia" w:ascii="仿宋_GB2312" w:hAnsi="仿宋_GB2312" w:eastAsia="仿宋_GB2312" w:cs="仿宋_GB2312"/>
          <w:sz w:val="32"/>
          <w:szCs w:val="32"/>
          <w:highlight w:val="none"/>
        </w:rPr>
        <w:t>在项目资金管理中，</w:t>
      </w:r>
      <w:r>
        <w:rPr>
          <w:rFonts w:hint="default" w:ascii="仿宋_GB2312" w:hAnsi="仿宋_GB2312" w:eastAsia="仿宋_GB2312" w:cs="仿宋_GB2312"/>
          <w:sz w:val="32"/>
          <w:szCs w:val="32"/>
          <w:highlight w:val="none"/>
          <w:lang w:val="en-US"/>
        </w:rPr>
        <w:t>单位</w:t>
      </w:r>
      <w:r>
        <w:rPr>
          <w:rFonts w:hint="eastAsia" w:ascii="仿宋_GB2312" w:hAnsi="仿宋_GB2312" w:eastAsia="仿宋_GB2312" w:cs="仿宋_GB2312"/>
          <w:sz w:val="32"/>
          <w:szCs w:val="32"/>
          <w:highlight w:val="none"/>
        </w:rPr>
        <w:t>严格按照财务管理制度，严格财务支出流程，对于项目资金未出现无故截留。</w:t>
      </w:r>
    </w:p>
    <w:p>
      <w:pPr>
        <w:keepNext w:val="0"/>
        <w:keepLines w:val="0"/>
        <w:pageBreakBefore w:val="0"/>
        <w:widowControl w:val="0"/>
        <w:numPr>
          <w:ilvl w:val="0"/>
          <w:numId w:val="1"/>
        </w:numPr>
        <w:kinsoku/>
        <w:wordWrap/>
        <w:overflowPunct/>
        <w:topLinePunct w:val="0"/>
        <w:autoSpaceDE/>
        <w:autoSpaceDN/>
        <w:bidi w:val="0"/>
        <w:spacing w:line="600" w:lineRule="exact"/>
        <w:ind w:left="0" w:leftChars="0" w:firstLine="562" w:firstLineChars="200"/>
        <w:textAlignment w:val="auto"/>
        <w:outlineLvl w:val="0"/>
        <w:rPr>
          <w:rFonts w:hint="eastAsia" w:ascii="楷体_GB2312" w:eastAsia="楷体_GB2312"/>
          <w:b/>
          <w:color w:val="000000"/>
          <w:sz w:val="28"/>
          <w:szCs w:val="28"/>
          <w:highlight w:val="none"/>
        </w:rPr>
      </w:pPr>
      <w:r>
        <w:rPr>
          <w:rFonts w:hint="eastAsia" w:ascii="楷体_GB2312" w:eastAsia="楷体_GB2312"/>
          <w:b/>
          <w:color w:val="000000"/>
          <w:sz w:val="28"/>
          <w:szCs w:val="28"/>
          <w:highlight w:val="none"/>
        </w:rPr>
        <w:t>项目绩效目标</w:t>
      </w:r>
    </w:p>
    <w:p>
      <w:pPr>
        <w:keepNext w:val="0"/>
        <w:keepLines w:val="0"/>
        <w:pageBreakBefore w:val="0"/>
        <w:widowControl w:val="0"/>
        <w:kinsoku/>
        <w:wordWrap/>
        <w:overflowPunct/>
        <w:topLinePunct w:val="0"/>
        <w:autoSpaceDE/>
        <w:autoSpaceDN/>
        <w:bidi w:val="0"/>
        <w:spacing w:line="600" w:lineRule="exact"/>
        <w:ind w:left="0" w:firstLine="560" w:firstLineChars="200"/>
        <w:textAlignment w:val="auto"/>
        <w:rPr>
          <w:rFonts w:hint="eastAsia" w:ascii="黑体" w:hAnsi="黑体" w:eastAsia="黑体" w:cs="黑体"/>
          <w:sz w:val="28"/>
          <w:szCs w:val="28"/>
          <w:highlight w:val="none"/>
        </w:rPr>
      </w:pPr>
      <w:r>
        <w:rPr>
          <w:rFonts w:hint="eastAsia" w:ascii="黑体" w:hAnsi="黑体" w:eastAsia="黑体" w:cs="黑体"/>
          <w:sz w:val="28"/>
          <w:szCs w:val="28"/>
          <w:highlight w:val="none"/>
        </w:rPr>
        <w:t>1、总体目标</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仿宋" w:hAnsi="仿宋" w:eastAsia="仿宋"/>
          <w:sz w:val="32"/>
          <w:szCs w:val="32"/>
          <w:highlight w:val="none"/>
          <w:lang w:eastAsia="zh-CN"/>
        </w:rPr>
      </w:pPr>
      <w:r>
        <w:rPr>
          <w:rFonts w:hint="eastAsia" w:ascii="仿宋_GB2312" w:hAnsi="仿宋_GB2312" w:eastAsia="仿宋_GB2312" w:cs="仿宋_GB2312"/>
          <w:sz w:val="32"/>
          <w:szCs w:val="32"/>
          <w:highlight w:val="none"/>
        </w:rPr>
        <w:t>通过预算资金项目的实施，</w:t>
      </w:r>
      <w:r>
        <w:rPr>
          <w:rFonts w:hint="default" w:ascii="仿宋_GB2312" w:hAnsi="仿宋_GB2312" w:eastAsia="仿宋_GB2312" w:cs="仿宋_GB2312"/>
          <w:sz w:val="32"/>
          <w:szCs w:val="32"/>
          <w:highlight w:val="none"/>
          <w:lang w:val="en-US"/>
        </w:rPr>
        <w:t>我局</w:t>
      </w:r>
      <w:r>
        <w:rPr>
          <w:rFonts w:hint="eastAsia" w:ascii="仿宋_GB2312" w:hAnsi="仿宋_GB2312" w:eastAsia="仿宋_GB2312" w:cs="仿宋_GB2312"/>
          <w:sz w:val="32"/>
          <w:szCs w:val="32"/>
          <w:highlight w:val="none"/>
        </w:rPr>
        <w:t>突出工作重点，主动提供服务，</w:t>
      </w:r>
      <w:r>
        <w:rPr>
          <w:rFonts w:hint="eastAsia" w:ascii="仿宋_GB2312" w:hAnsi="仿宋_GB2312" w:eastAsia="仿宋_GB2312" w:cs="仿宋_GB2312"/>
          <w:sz w:val="32"/>
          <w:szCs w:val="32"/>
          <w:highlight w:val="none"/>
          <w:lang w:val="en-US" w:eastAsia="zh-CN"/>
        </w:rPr>
        <w:t>医疗保障</w:t>
      </w:r>
      <w:r>
        <w:rPr>
          <w:rFonts w:hint="eastAsia" w:ascii="仿宋_GB2312" w:hAnsi="仿宋_GB2312" w:eastAsia="仿宋_GB2312" w:cs="仿宋_GB2312"/>
          <w:sz w:val="32"/>
          <w:szCs w:val="32"/>
          <w:highlight w:val="none"/>
        </w:rPr>
        <w:t>工作稳步推进，优化</w:t>
      </w:r>
      <w:r>
        <w:rPr>
          <w:rFonts w:hint="eastAsia" w:ascii="仿宋_GB2312" w:hAnsi="仿宋_GB2312" w:eastAsia="仿宋_GB2312" w:cs="仿宋_GB2312"/>
          <w:sz w:val="32"/>
          <w:szCs w:val="32"/>
          <w:highlight w:val="none"/>
          <w:lang w:val="en-US" w:eastAsia="zh-CN"/>
        </w:rPr>
        <w:t>医疗保障工作</w:t>
      </w:r>
      <w:r>
        <w:rPr>
          <w:rFonts w:hint="eastAsia" w:ascii="仿宋_GB2312" w:hAnsi="仿宋_GB2312" w:eastAsia="仿宋_GB2312" w:cs="仿宋_GB2312"/>
          <w:sz w:val="32"/>
          <w:szCs w:val="32"/>
          <w:highlight w:val="none"/>
        </w:rPr>
        <w:t>流程，</w:t>
      </w:r>
      <w:r>
        <w:rPr>
          <w:rFonts w:hint="eastAsia" w:ascii="仿宋_GB2312" w:hAnsi="仿宋_GB2312" w:eastAsia="仿宋_GB2312" w:cs="仿宋_GB2312"/>
          <w:sz w:val="32"/>
          <w:szCs w:val="32"/>
          <w:highlight w:val="none"/>
          <w:lang w:val="en-US" w:eastAsia="zh-CN"/>
        </w:rPr>
        <w:t>实行工作</w:t>
      </w:r>
      <w:r>
        <w:rPr>
          <w:rFonts w:hint="eastAsia" w:ascii="仿宋_GB2312" w:hAnsi="仿宋_GB2312" w:eastAsia="仿宋_GB2312" w:cs="仿宋_GB2312"/>
          <w:sz w:val="32"/>
          <w:szCs w:val="32"/>
          <w:highlight w:val="none"/>
        </w:rPr>
        <w:t>效率进一步提升</w:t>
      </w:r>
      <w:r>
        <w:rPr>
          <w:rFonts w:hint="eastAsia" w:ascii="仿宋_GB2312" w:hAnsi="仿宋_GB2312" w:eastAsia="仿宋_GB2312" w:cs="仿宋_GB2312"/>
          <w:sz w:val="32"/>
          <w:szCs w:val="32"/>
          <w:highlight w:val="none"/>
          <w:lang w:eastAsia="zh-CN"/>
        </w:rPr>
        <w:t>，激励提升部门人员的办事水平，加快推动医疗保险事业公平可持续发展。</w:t>
      </w:r>
    </w:p>
    <w:p>
      <w:pPr>
        <w:keepNext w:val="0"/>
        <w:keepLines w:val="0"/>
        <w:pageBreakBefore w:val="0"/>
        <w:widowControl w:val="0"/>
        <w:kinsoku/>
        <w:wordWrap/>
        <w:overflowPunct/>
        <w:topLinePunct w:val="0"/>
        <w:autoSpaceDE/>
        <w:autoSpaceDN/>
        <w:bidi w:val="0"/>
        <w:spacing w:line="600" w:lineRule="exact"/>
        <w:ind w:left="0" w:firstLine="560" w:firstLineChars="200"/>
        <w:textAlignment w:val="auto"/>
        <w:rPr>
          <w:rFonts w:hint="eastAsia" w:ascii="黑体" w:hAnsi="黑体" w:eastAsia="黑体" w:cs="黑体"/>
          <w:sz w:val="28"/>
          <w:szCs w:val="28"/>
          <w:highlight w:val="none"/>
        </w:rPr>
      </w:pPr>
      <w:r>
        <w:rPr>
          <w:rFonts w:hint="eastAsia" w:ascii="黑体" w:hAnsi="黑体" w:eastAsia="黑体" w:cs="黑体"/>
          <w:sz w:val="28"/>
          <w:szCs w:val="28"/>
          <w:highlight w:val="none"/>
        </w:rPr>
        <w:t>2、阶段性目标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highlight w:val="none"/>
          <w:lang w:val="en-US" w:eastAsia="zh-CN"/>
        </w:rPr>
      </w:pPr>
      <w:r>
        <w:rPr>
          <w:rFonts w:hint="eastAsia" w:ascii="仿宋_GB2312" w:hAnsi="仿宋_GB2312" w:eastAsia="仿宋_GB2312" w:cs="仿宋_GB2312"/>
          <w:sz w:val="32"/>
          <w:szCs w:val="32"/>
          <w:highlight w:val="none"/>
          <w:lang w:val="en-US" w:eastAsia="zh-CN"/>
        </w:rPr>
        <w:t>在领导的带领下以及全体职工的共同努力下，按照严格的资金预算，结合南昌市医疗保险事业管理处医疗保险业务及办公经费补助项目的需求，较好地完成该项目的内容，</w:t>
      </w:r>
      <w:r>
        <w:rPr>
          <w:rFonts w:hint="eastAsia" w:ascii="仿宋_GB2312" w:hAnsi="仿宋_GB2312" w:eastAsia="仿宋_GB2312" w:cs="仿宋_GB2312"/>
          <w:sz w:val="32"/>
          <w:szCs w:val="32"/>
          <w:highlight w:val="none"/>
        </w:rPr>
        <w:t>确保</w:t>
      </w:r>
      <w:r>
        <w:rPr>
          <w:rFonts w:hint="eastAsia" w:ascii="仿宋_GB2312" w:hAnsi="仿宋_GB2312" w:eastAsia="仿宋_GB2312" w:cs="仿宋_GB2312"/>
          <w:sz w:val="32"/>
          <w:szCs w:val="32"/>
          <w:highlight w:val="none"/>
          <w:lang w:val="en-US" w:eastAsia="zh-CN"/>
        </w:rPr>
        <w:t>2020年</w:t>
      </w:r>
      <w:r>
        <w:rPr>
          <w:rFonts w:hint="default" w:ascii="仿宋_GB2312" w:hAnsi="仿宋_GB2312" w:eastAsia="仿宋_GB2312" w:cs="仿宋_GB2312"/>
          <w:sz w:val="32"/>
          <w:szCs w:val="32"/>
          <w:highlight w:val="none"/>
          <w:lang w:val="en-US" w:eastAsia="zh-CN"/>
        </w:rPr>
        <w:t>单位</w:t>
      </w:r>
      <w:r>
        <w:rPr>
          <w:rFonts w:hint="eastAsia" w:ascii="仿宋_GB2312" w:hAnsi="仿宋_GB2312" w:eastAsia="仿宋_GB2312" w:cs="仿宋_GB2312"/>
          <w:sz w:val="32"/>
          <w:szCs w:val="32"/>
          <w:highlight w:val="none"/>
        </w:rPr>
        <w:t>日常业务正常开展</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spacing w:line="600" w:lineRule="exact"/>
        <w:ind w:left="0" w:firstLine="560" w:firstLineChars="200"/>
        <w:textAlignment w:val="auto"/>
        <w:rPr>
          <w:rFonts w:hint="eastAsia" w:ascii="黑体" w:hAnsi="黑体" w:eastAsia="黑体" w:cs="黑体"/>
          <w:sz w:val="28"/>
          <w:szCs w:val="28"/>
          <w:highlight w:val="none"/>
        </w:rPr>
      </w:pPr>
      <w:r>
        <w:rPr>
          <w:rFonts w:hint="eastAsia" w:ascii="黑体" w:hAnsi="黑体" w:eastAsia="黑体" w:cs="黑体"/>
          <w:sz w:val="28"/>
          <w:szCs w:val="28"/>
          <w:highlight w:val="none"/>
        </w:rPr>
        <w:t>3、项目预期目标完成情况</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截止至2020年12月31日，按照相关文件、政策规定向市民发放医疗、生育等保险待遇，完成了医疗保险等相关业务，保障了单位医保经办服务的提升，同时为参保人员提供了方便快捷的享受到医疗保险的福利。</w:t>
      </w:r>
    </w:p>
    <w:p>
      <w:pPr>
        <w:keepNext w:val="0"/>
        <w:keepLines w:val="0"/>
        <w:pageBreakBefore w:val="0"/>
        <w:widowControl w:val="0"/>
        <w:kinsoku/>
        <w:wordWrap/>
        <w:overflowPunct/>
        <w:topLinePunct w:val="0"/>
        <w:autoSpaceDE/>
        <w:autoSpaceDN/>
        <w:bidi w:val="0"/>
        <w:spacing w:line="600" w:lineRule="exact"/>
        <w:ind w:left="0" w:firstLine="560" w:firstLineChars="200"/>
        <w:textAlignment w:val="auto"/>
        <w:rPr>
          <w:rFonts w:hint="eastAsia" w:ascii="黑体" w:hAnsi="黑体" w:eastAsia="黑体"/>
          <w:color w:val="000000"/>
          <w:sz w:val="28"/>
          <w:szCs w:val="28"/>
          <w:highlight w:val="none"/>
        </w:rPr>
      </w:pPr>
      <w:r>
        <w:rPr>
          <w:rFonts w:hint="eastAsia" w:ascii="黑体" w:hAnsi="黑体" w:eastAsia="黑体"/>
          <w:color w:val="000000"/>
          <w:sz w:val="28"/>
          <w:szCs w:val="28"/>
          <w:highlight w:val="none"/>
        </w:rPr>
        <w:t>二、绩效评价工作开展情况</w:t>
      </w:r>
    </w:p>
    <w:p>
      <w:pPr>
        <w:keepNext w:val="0"/>
        <w:keepLines w:val="0"/>
        <w:pageBreakBefore w:val="0"/>
        <w:widowControl w:val="0"/>
        <w:kinsoku/>
        <w:wordWrap/>
        <w:overflowPunct/>
        <w:topLinePunct w:val="0"/>
        <w:autoSpaceDE/>
        <w:autoSpaceDN/>
        <w:bidi w:val="0"/>
        <w:spacing w:line="600" w:lineRule="exact"/>
        <w:ind w:left="0" w:firstLine="562" w:firstLineChars="200"/>
        <w:textAlignment w:val="auto"/>
        <w:outlineLvl w:val="0"/>
        <w:rPr>
          <w:rFonts w:hint="eastAsia" w:ascii="楷体_GB2312" w:eastAsia="楷体_GB2312"/>
          <w:b/>
          <w:color w:val="000000"/>
          <w:sz w:val="28"/>
          <w:szCs w:val="28"/>
          <w:highlight w:val="none"/>
        </w:rPr>
      </w:pPr>
      <w:r>
        <w:rPr>
          <w:rFonts w:hint="eastAsia" w:ascii="楷体_GB2312" w:eastAsia="楷体_GB2312"/>
          <w:b/>
          <w:color w:val="000000"/>
          <w:sz w:val="28"/>
          <w:szCs w:val="28"/>
          <w:highlight w:val="none"/>
        </w:rPr>
        <w:t>（一）绩效评价目的、对象和范围。</w:t>
      </w:r>
    </w:p>
    <w:p>
      <w:pPr>
        <w:keepNext w:val="0"/>
        <w:keepLines w:val="0"/>
        <w:pageBreakBefore w:val="0"/>
        <w:widowControl w:val="0"/>
        <w:kinsoku/>
        <w:wordWrap/>
        <w:overflowPunct/>
        <w:topLinePunct w:val="0"/>
        <w:autoSpaceDE/>
        <w:autoSpaceDN/>
        <w:bidi w:val="0"/>
        <w:spacing w:line="600" w:lineRule="exact"/>
        <w:ind w:left="0" w:firstLine="560" w:firstLineChars="200"/>
        <w:textAlignment w:val="auto"/>
        <w:rPr>
          <w:rFonts w:hint="eastAsia" w:ascii="黑体" w:eastAsia="黑体"/>
          <w:sz w:val="28"/>
          <w:szCs w:val="28"/>
          <w:highlight w:val="none"/>
        </w:rPr>
      </w:pPr>
      <w:r>
        <w:rPr>
          <w:rFonts w:hint="eastAsia" w:ascii="黑体" w:eastAsia="黑体"/>
          <w:sz w:val="28"/>
          <w:szCs w:val="28"/>
          <w:highlight w:val="none"/>
        </w:rPr>
        <w:t>1、绩效评价目的</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通过绩效评价，科学、客观、公正的对2020年度</w:t>
      </w:r>
      <w:r>
        <w:rPr>
          <w:rFonts w:hint="eastAsia" w:ascii="仿宋_GB2312" w:hAnsi="仿宋_GB2312" w:eastAsia="仿宋_GB2312" w:cs="仿宋_GB2312"/>
          <w:sz w:val="32"/>
          <w:szCs w:val="32"/>
          <w:highlight w:val="none"/>
          <w:lang w:eastAsia="zh-CN"/>
        </w:rPr>
        <w:t>南昌市医疗保险事业管理处</w:t>
      </w:r>
      <w:r>
        <w:rPr>
          <w:rFonts w:hint="eastAsia" w:ascii="仿宋_GB2312" w:hAnsi="仿宋_GB2312" w:eastAsia="仿宋_GB2312" w:cs="仿宋_GB2312"/>
          <w:sz w:val="32"/>
          <w:szCs w:val="32"/>
          <w:highlight w:val="none"/>
        </w:rPr>
        <w:t>项目资金进行整体综合性评价，分析项目各项指标是否达到预期完成情况，评价资金使用的规范性和有效性，并及时总结经验，分析存在问题，提出改进意见和建议，促进单位提升财政项目资金的预算绩效管理工作水平，强化支出责任，优化资源配置效率，提高财政资金使用效益。</w:t>
      </w:r>
    </w:p>
    <w:p>
      <w:pPr>
        <w:keepNext w:val="0"/>
        <w:keepLines w:val="0"/>
        <w:pageBreakBefore w:val="0"/>
        <w:widowControl w:val="0"/>
        <w:kinsoku/>
        <w:wordWrap/>
        <w:overflowPunct/>
        <w:topLinePunct w:val="0"/>
        <w:autoSpaceDE/>
        <w:autoSpaceDN/>
        <w:bidi w:val="0"/>
        <w:spacing w:line="600" w:lineRule="exact"/>
        <w:ind w:left="0" w:firstLine="560" w:firstLineChars="200"/>
        <w:textAlignment w:val="auto"/>
        <w:rPr>
          <w:rFonts w:hint="eastAsia" w:ascii="黑体" w:eastAsia="黑体"/>
          <w:sz w:val="28"/>
          <w:szCs w:val="28"/>
          <w:highlight w:val="none"/>
        </w:rPr>
      </w:pPr>
      <w:r>
        <w:rPr>
          <w:rFonts w:hint="eastAsia" w:ascii="黑体" w:eastAsia="黑体"/>
          <w:sz w:val="28"/>
          <w:szCs w:val="28"/>
          <w:highlight w:val="none"/>
        </w:rPr>
        <w:t>2、绩效评价对象和范围</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本项目绩效评价对象为</w:t>
      </w:r>
      <w:r>
        <w:rPr>
          <w:rFonts w:hint="eastAsia" w:ascii="仿宋_GB2312" w:hAnsi="仿宋_GB2312" w:eastAsia="仿宋_GB2312" w:cs="仿宋_GB2312"/>
          <w:sz w:val="32"/>
          <w:szCs w:val="32"/>
          <w:highlight w:val="none"/>
          <w:lang w:eastAsia="zh-CN"/>
        </w:rPr>
        <w:t>南昌市医疗保险事业管理处</w:t>
      </w:r>
      <w:r>
        <w:rPr>
          <w:rFonts w:hint="eastAsia" w:ascii="仿宋_GB2312" w:hAnsi="仿宋_GB2312" w:eastAsia="仿宋_GB2312" w:cs="仿宋_GB2312"/>
          <w:sz w:val="32"/>
          <w:szCs w:val="32"/>
          <w:highlight w:val="none"/>
        </w:rPr>
        <w:t>2020年财政拨款经费项目，本次绩效评价范围是：</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（1）绩效目标与战略发展规划的适应性；</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（2）专项资金使用情况、财务管理状况；</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（3）为加强管理所制定的相关制度、采取的措施等；</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（4）绩效目标的实现程度，包括是否达到预定产出和效果等；</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（5）需要评价的其他内容。</w:t>
      </w:r>
    </w:p>
    <w:p>
      <w:pPr>
        <w:keepNext w:val="0"/>
        <w:keepLines w:val="0"/>
        <w:pageBreakBefore w:val="0"/>
        <w:widowControl w:val="0"/>
        <w:kinsoku/>
        <w:wordWrap/>
        <w:overflowPunct/>
        <w:topLinePunct w:val="0"/>
        <w:autoSpaceDE/>
        <w:autoSpaceDN/>
        <w:bidi w:val="0"/>
        <w:spacing w:line="600" w:lineRule="exact"/>
        <w:ind w:left="0" w:firstLine="562" w:firstLineChars="200"/>
        <w:textAlignment w:val="auto"/>
        <w:outlineLvl w:val="0"/>
        <w:rPr>
          <w:rFonts w:hint="eastAsia" w:ascii="楷体_GB2312" w:hAnsi="Calibri" w:eastAsia="楷体_GB2312" w:cs="Times New Roman"/>
          <w:b/>
          <w:color w:val="000000"/>
          <w:sz w:val="28"/>
          <w:szCs w:val="28"/>
          <w:highlight w:val="none"/>
        </w:rPr>
      </w:pPr>
      <w:r>
        <w:rPr>
          <w:rFonts w:hint="eastAsia" w:ascii="楷体_GB2312" w:hAnsi="Calibri" w:eastAsia="楷体_GB2312" w:cs="Times New Roman"/>
          <w:b/>
          <w:color w:val="000000"/>
          <w:sz w:val="28"/>
          <w:szCs w:val="28"/>
          <w:highlight w:val="none"/>
          <w:lang w:eastAsia="zh-CN"/>
        </w:rPr>
        <w:t>（</w:t>
      </w:r>
      <w:r>
        <w:rPr>
          <w:rFonts w:hint="eastAsia" w:ascii="楷体_GB2312" w:hAnsi="Calibri" w:eastAsia="楷体_GB2312" w:cs="Times New Roman"/>
          <w:b/>
          <w:color w:val="000000"/>
          <w:sz w:val="28"/>
          <w:szCs w:val="28"/>
          <w:highlight w:val="none"/>
          <w:lang w:val="en-US" w:eastAsia="zh-CN"/>
        </w:rPr>
        <w:t>二）</w:t>
      </w:r>
      <w:r>
        <w:rPr>
          <w:rFonts w:hint="eastAsia" w:ascii="楷体_GB2312" w:hAnsi="Calibri" w:eastAsia="楷体_GB2312" w:cs="Times New Roman"/>
          <w:b/>
          <w:color w:val="000000"/>
          <w:sz w:val="28"/>
          <w:szCs w:val="28"/>
          <w:highlight w:val="none"/>
        </w:rPr>
        <w:t>绩效评价原则、评价指标体系（附表说明）、评价方法、评价标准</w:t>
      </w:r>
    </w:p>
    <w:p>
      <w:pPr>
        <w:keepNext w:val="0"/>
        <w:keepLines w:val="0"/>
        <w:pageBreakBefore w:val="0"/>
        <w:widowControl w:val="0"/>
        <w:kinsoku/>
        <w:wordWrap/>
        <w:overflowPunct/>
        <w:topLinePunct w:val="0"/>
        <w:autoSpaceDE/>
        <w:autoSpaceDN/>
        <w:bidi w:val="0"/>
        <w:spacing w:line="600" w:lineRule="exact"/>
        <w:ind w:left="0" w:firstLine="560" w:firstLineChars="200"/>
        <w:textAlignment w:val="auto"/>
        <w:rPr>
          <w:rFonts w:hint="eastAsia" w:ascii="黑体" w:hAnsi="Calibri" w:eastAsia="黑体" w:cs="Times New Roman"/>
          <w:sz w:val="28"/>
          <w:szCs w:val="28"/>
          <w:highlight w:val="none"/>
        </w:rPr>
      </w:pPr>
      <w:r>
        <w:rPr>
          <w:rFonts w:hint="eastAsia" w:ascii="黑体" w:hAnsi="Calibri" w:eastAsia="黑体" w:cs="Times New Roman"/>
          <w:sz w:val="28"/>
          <w:szCs w:val="28"/>
          <w:highlight w:val="none"/>
          <w:lang w:val="en-US" w:eastAsia="zh-CN"/>
        </w:rPr>
        <w:t>1、</w:t>
      </w:r>
      <w:r>
        <w:rPr>
          <w:rFonts w:hint="eastAsia" w:ascii="黑体" w:hAnsi="Calibri" w:eastAsia="黑体" w:cs="Times New Roman"/>
          <w:sz w:val="28"/>
          <w:szCs w:val="28"/>
          <w:highlight w:val="none"/>
        </w:rPr>
        <w:t>绩效评价原则</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绩效评价应当遵循以下基本原则：</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（一）科学公正。绩效评价应当运用科学合理的方法，按照规范的程序，对项目绩效进行客观、公正的反映。</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统筹兼顾。单位自评、部门评价和财政评价应职责明确，各有侧重，相互衔接。单位自评应由项目单位自主实施，即“谁支出、谁自评”。部门评价和财政评价应在单位自评的基础上开展，必要时可委托第三方机构实施。</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（三）激励约束。绩效评价结果应与预算安排、政策调整、改进管理实质性挂钩，体现奖优罚劣和激励相容导向，有效要安排、低效要压减、无效要问责。</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（四）公开透明。绩效评价结果应依法依规公开，并自觉接受社会监督。</w:t>
      </w:r>
    </w:p>
    <w:p>
      <w:pPr>
        <w:keepNext w:val="0"/>
        <w:keepLines w:val="0"/>
        <w:pageBreakBefore w:val="0"/>
        <w:widowControl w:val="0"/>
        <w:kinsoku/>
        <w:wordWrap/>
        <w:overflowPunct/>
        <w:topLinePunct w:val="0"/>
        <w:autoSpaceDE/>
        <w:autoSpaceDN/>
        <w:bidi w:val="0"/>
        <w:snapToGrid w:val="0"/>
        <w:spacing w:line="600" w:lineRule="exact"/>
        <w:ind w:left="0" w:firstLine="560" w:firstLineChars="200"/>
        <w:textAlignment w:val="auto"/>
        <w:rPr>
          <w:rFonts w:hint="eastAsia" w:ascii="黑体" w:eastAsia="黑体"/>
          <w:sz w:val="28"/>
          <w:szCs w:val="28"/>
          <w:highlight w:val="none"/>
        </w:rPr>
      </w:pPr>
      <w:r>
        <w:rPr>
          <w:rFonts w:hint="eastAsia" w:ascii="黑体" w:eastAsia="黑体"/>
          <w:sz w:val="28"/>
          <w:szCs w:val="28"/>
          <w:highlight w:val="none"/>
        </w:rPr>
        <w:t>2、评价指标体系</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本项目绩效评价建立了三级评价指标体系，见下表：</w:t>
      </w:r>
    </w:p>
    <w:tbl>
      <w:tblPr>
        <w:tblStyle w:val="7"/>
        <w:tblW w:w="435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254"/>
        <w:gridCol w:w="2208"/>
        <w:gridCol w:w="1361"/>
        <w:gridCol w:w="978"/>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9" w:hRule="atLeast"/>
          <w:tblHeader/>
          <w:jc w:val="center"/>
        </w:trPr>
        <w:tc>
          <w:tcPr>
            <w:tcW w:w="845" w:type="pct"/>
            <w:shd w:val="clear" w:color="auto" w:fill="auto"/>
            <w:vAlign w:val="center"/>
          </w:tcPr>
          <w:p>
            <w:pPr>
              <w:widowControl/>
              <w:jc w:val="center"/>
              <w:rPr>
                <w:rFonts w:hint="eastAsia" w:ascii="黑体" w:hAnsi="黑体" w:eastAsia="黑体" w:cs="宋体"/>
                <w:bCs/>
                <w:color w:val="000000"/>
                <w:kern w:val="0"/>
                <w:szCs w:val="21"/>
                <w:highlight w:val="none"/>
              </w:rPr>
            </w:pPr>
            <w:r>
              <w:rPr>
                <w:rFonts w:hint="eastAsia" w:ascii="黑体" w:hAnsi="黑体" w:eastAsia="黑体" w:cs="宋体"/>
                <w:bCs/>
                <w:color w:val="000000"/>
                <w:kern w:val="0"/>
                <w:szCs w:val="21"/>
                <w:highlight w:val="none"/>
              </w:rPr>
              <w:t>一级</w:t>
            </w:r>
          </w:p>
          <w:p>
            <w:pPr>
              <w:widowControl/>
              <w:jc w:val="center"/>
              <w:rPr>
                <w:rFonts w:ascii="黑体" w:hAnsi="黑体" w:eastAsia="黑体" w:cs="宋体"/>
                <w:bCs/>
                <w:color w:val="000000"/>
                <w:kern w:val="0"/>
                <w:szCs w:val="21"/>
                <w:highlight w:val="none"/>
              </w:rPr>
            </w:pPr>
            <w:r>
              <w:rPr>
                <w:rFonts w:hint="eastAsia" w:ascii="黑体" w:hAnsi="黑体" w:eastAsia="黑体" w:cs="宋体"/>
                <w:bCs/>
                <w:color w:val="000000"/>
                <w:kern w:val="0"/>
                <w:szCs w:val="21"/>
                <w:highlight w:val="none"/>
              </w:rPr>
              <w:t>指标</w:t>
            </w:r>
          </w:p>
        </w:tc>
        <w:tc>
          <w:tcPr>
            <w:tcW w:w="1488" w:type="pct"/>
            <w:shd w:val="clear" w:color="auto" w:fill="auto"/>
            <w:vAlign w:val="center"/>
          </w:tcPr>
          <w:p>
            <w:pPr>
              <w:widowControl/>
              <w:jc w:val="center"/>
              <w:rPr>
                <w:rFonts w:ascii="黑体" w:hAnsi="黑体" w:eastAsia="黑体" w:cs="宋体"/>
                <w:bCs/>
                <w:color w:val="000000"/>
                <w:kern w:val="0"/>
                <w:szCs w:val="21"/>
                <w:highlight w:val="none"/>
              </w:rPr>
            </w:pPr>
            <w:r>
              <w:rPr>
                <w:rFonts w:hint="eastAsia" w:ascii="黑体" w:hAnsi="黑体" w:eastAsia="黑体" w:cs="宋体"/>
                <w:bCs/>
                <w:color w:val="000000"/>
                <w:kern w:val="0"/>
                <w:szCs w:val="21"/>
                <w:highlight w:val="none"/>
              </w:rPr>
              <w:t>二级指标</w:t>
            </w:r>
          </w:p>
        </w:tc>
        <w:tc>
          <w:tcPr>
            <w:tcW w:w="917" w:type="pct"/>
            <w:shd w:val="clear" w:color="auto" w:fill="auto"/>
            <w:vAlign w:val="center"/>
          </w:tcPr>
          <w:p>
            <w:pPr>
              <w:widowControl/>
              <w:jc w:val="center"/>
              <w:rPr>
                <w:rFonts w:ascii="黑体" w:hAnsi="黑体" w:eastAsia="黑体" w:cs="宋体"/>
                <w:bCs/>
                <w:color w:val="000000"/>
                <w:kern w:val="0"/>
                <w:szCs w:val="21"/>
                <w:highlight w:val="none"/>
              </w:rPr>
            </w:pPr>
            <w:r>
              <w:rPr>
                <w:rFonts w:hint="eastAsia" w:ascii="黑体" w:hAnsi="黑体" w:eastAsia="黑体" w:cs="宋体"/>
                <w:bCs/>
                <w:color w:val="000000"/>
                <w:kern w:val="0"/>
                <w:szCs w:val="21"/>
                <w:highlight w:val="none"/>
              </w:rPr>
              <w:t>三级指标</w:t>
            </w:r>
          </w:p>
        </w:tc>
        <w:tc>
          <w:tcPr>
            <w:tcW w:w="659" w:type="pct"/>
            <w:shd w:val="clear" w:color="auto" w:fill="auto"/>
            <w:vAlign w:val="center"/>
          </w:tcPr>
          <w:p>
            <w:pPr>
              <w:widowControl/>
              <w:jc w:val="center"/>
              <w:rPr>
                <w:rFonts w:hint="eastAsia" w:ascii="黑体" w:hAnsi="黑体" w:eastAsia="黑体" w:cs="宋体"/>
                <w:bCs/>
                <w:color w:val="000000"/>
                <w:kern w:val="0"/>
                <w:szCs w:val="21"/>
                <w:highlight w:val="none"/>
              </w:rPr>
            </w:pPr>
            <w:r>
              <w:rPr>
                <w:rFonts w:hint="eastAsia" w:ascii="黑体" w:hAnsi="黑体" w:eastAsia="黑体" w:cs="宋体"/>
                <w:bCs/>
                <w:color w:val="000000"/>
                <w:kern w:val="0"/>
                <w:szCs w:val="21"/>
                <w:highlight w:val="none"/>
              </w:rPr>
              <w:t>分值权重</w:t>
            </w:r>
          </w:p>
        </w:tc>
        <w:tc>
          <w:tcPr>
            <w:tcW w:w="1089" w:type="pct"/>
            <w:shd w:val="clear" w:color="auto" w:fill="auto"/>
            <w:vAlign w:val="center"/>
          </w:tcPr>
          <w:p>
            <w:pPr>
              <w:widowControl/>
              <w:jc w:val="center"/>
              <w:rPr>
                <w:rFonts w:hint="eastAsia" w:ascii="黑体" w:hAnsi="黑体" w:eastAsia="黑体" w:cs="宋体"/>
                <w:bCs/>
                <w:color w:val="000000"/>
                <w:kern w:val="0"/>
                <w:szCs w:val="21"/>
                <w:highlight w:val="none"/>
              </w:rPr>
            </w:pPr>
            <w:r>
              <w:rPr>
                <w:rFonts w:hint="eastAsia" w:ascii="黑体" w:hAnsi="黑体" w:eastAsia="黑体" w:cs="宋体"/>
                <w:bCs/>
                <w:color w:val="000000"/>
                <w:kern w:val="0"/>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决策</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（1</w:t>
            </w:r>
            <w:r>
              <w:rPr>
                <w:rFonts w:hint="eastAsia" w:ascii="方正书宋简体" w:hAnsi="黑体" w:eastAsia="方正书宋简体" w:cs="宋体"/>
                <w:color w:val="000000"/>
                <w:kern w:val="0"/>
                <w:szCs w:val="21"/>
                <w:highlight w:val="none"/>
                <w:lang w:val="en-US" w:eastAsia="zh-CN"/>
              </w:rPr>
              <w:t>5</w:t>
            </w:r>
            <w:r>
              <w:rPr>
                <w:rFonts w:hint="eastAsia" w:ascii="方正书宋简体" w:hAnsi="黑体" w:eastAsia="方正书宋简体" w:cs="宋体"/>
                <w:color w:val="000000"/>
                <w:kern w:val="0"/>
                <w:szCs w:val="21"/>
                <w:highlight w:val="none"/>
              </w:rPr>
              <w:t>分）　</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　</w:t>
            </w:r>
          </w:p>
          <w:p>
            <w:pPr>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　</w:t>
            </w:r>
          </w:p>
        </w:tc>
        <w:tc>
          <w:tcPr>
            <w:tcW w:w="1488" w:type="pct"/>
            <w:vMerge w:val="restart"/>
            <w:shd w:val="clear" w:color="auto" w:fill="auto"/>
            <w:vAlign w:val="center"/>
          </w:tcPr>
          <w:p>
            <w:pPr>
              <w:widowControl/>
              <w:spacing w:line="240" w:lineRule="exact"/>
              <w:jc w:val="center"/>
              <w:rPr>
                <w:rFonts w:hint="eastAsia"/>
                <w:highlight w:val="none"/>
              </w:rPr>
            </w:pPr>
            <w:r>
              <w:rPr>
                <w:rFonts w:hint="eastAsia"/>
                <w:highlight w:val="none"/>
              </w:rPr>
              <w:t>项目立项</w:t>
            </w:r>
          </w:p>
          <w:p>
            <w:pPr>
              <w:widowControl/>
              <w:spacing w:line="240" w:lineRule="exact"/>
              <w:jc w:val="center"/>
              <w:rPr>
                <w:rFonts w:hint="default" w:eastAsia="宋体"/>
                <w:highlight w:val="none"/>
                <w:lang w:val="en-US" w:eastAsia="zh-CN"/>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lang w:val="en-US" w:eastAsia="zh-CN"/>
              </w:rPr>
              <w:t>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立项依据</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充分性</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lang w:val="en-US" w:eastAsia="zh-CN"/>
              </w:rPr>
              <w:t>2.5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2.5</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①项目立项符合国家法律法规和相关政策，得1</w:t>
            </w:r>
            <w:r>
              <w:rPr>
                <w:rFonts w:hint="eastAsia" w:ascii="方正书宋简体" w:hAnsi="黑体" w:eastAsia="方正书宋简体" w:cs="宋体"/>
                <w:color w:val="000000"/>
                <w:kern w:val="0"/>
                <w:szCs w:val="21"/>
                <w:highlight w:val="none"/>
                <w:lang w:val="en-US" w:eastAsia="zh-CN"/>
              </w:rPr>
              <w:t>.5</w:t>
            </w:r>
            <w:r>
              <w:rPr>
                <w:rFonts w:hint="eastAsia" w:ascii="方正书宋简体" w:hAnsi="黑体" w:eastAsia="方正书宋简体" w:cs="宋体"/>
                <w:color w:val="000000"/>
                <w:kern w:val="0"/>
                <w:szCs w:val="21"/>
                <w:highlight w:val="none"/>
              </w:rPr>
              <w:t>分，不符合不得分；</w:t>
            </w:r>
            <w:r>
              <w:rPr>
                <w:rFonts w:hint="eastAsia" w:ascii="方正书宋简体" w:hAnsi="黑体" w:eastAsia="方正书宋简体" w:cs="宋体"/>
                <w:color w:val="000000"/>
                <w:kern w:val="0"/>
                <w:szCs w:val="21"/>
                <w:highlight w:val="none"/>
              </w:rPr>
              <w:br w:type="textWrapping"/>
            </w:r>
            <w:r>
              <w:rPr>
                <w:rFonts w:hint="eastAsia" w:ascii="方正书宋简体" w:hAnsi="黑体" w:eastAsia="方正书宋简体" w:cs="宋体"/>
                <w:color w:val="000000"/>
                <w:kern w:val="0"/>
                <w:szCs w:val="21"/>
                <w:highlight w:val="none"/>
              </w:rPr>
              <w:t>②项目立项与部门职责范围相符，属于部门履职所需，得</w:t>
            </w:r>
            <w:r>
              <w:rPr>
                <w:rFonts w:hint="eastAsia" w:ascii="方正书宋简体" w:hAnsi="黑体" w:eastAsia="方正书宋简体" w:cs="宋体"/>
                <w:color w:val="000000"/>
                <w:kern w:val="0"/>
                <w:szCs w:val="21"/>
                <w:highlight w:val="none"/>
                <w:lang w:val="en-US" w:eastAsia="zh-CN"/>
              </w:rPr>
              <w:t>1</w:t>
            </w:r>
            <w:r>
              <w:rPr>
                <w:rFonts w:hint="eastAsia" w:ascii="方正书宋简体" w:hAnsi="黑体" w:eastAsia="方正书宋简体" w:cs="宋体"/>
                <w:color w:val="000000"/>
                <w:kern w:val="0"/>
                <w:szCs w:val="21"/>
                <w:highlight w:val="none"/>
              </w:rPr>
              <w:t>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atLeast"/>
          <w:jc w:val="center"/>
        </w:trPr>
        <w:tc>
          <w:tcPr>
            <w:tcW w:w="845"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488"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917" w:type="pct"/>
            <w:shd w:val="clear" w:color="auto" w:fill="auto"/>
            <w:vAlign w:val="center"/>
          </w:tcPr>
          <w:p>
            <w:pPr>
              <w:widowControl/>
              <w:spacing w:line="240" w:lineRule="exact"/>
              <w:jc w:val="center"/>
              <w:rPr>
                <w:rFonts w:hint="eastAsia"/>
                <w:highlight w:val="none"/>
              </w:rPr>
            </w:pPr>
            <w:r>
              <w:rPr>
                <w:rFonts w:hint="eastAsia"/>
                <w:highlight w:val="none"/>
              </w:rPr>
              <w:t>立项程序</w:t>
            </w:r>
          </w:p>
          <w:p>
            <w:pPr>
              <w:widowControl/>
              <w:spacing w:line="240" w:lineRule="exact"/>
              <w:jc w:val="center"/>
              <w:rPr>
                <w:rFonts w:hint="eastAsia"/>
                <w:highlight w:val="none"/>
              </w:rPr>
            </w:pPr>
            <w:r>
              <w:rPr>
                <w:rFonts w:hint="eastAsia"/>
                <w:highlight w:val="none"/>
              </w:rPr>
              <w:t>规范性</w:t>
            </w:r>
          </w:p>
          <w:p>
            <w:pPr>
              <w:widowControl/>
              <w:spacing w:line="240" w:lineRule="exact"/>
              <w:jc w:val="center"/>
              <w:rPr>
                <w:rFonts w:hint="eastAsia"/>
                <w:highlight w:val="none"/>
              </w:rPr>
            </w:pPr>
            <w:r>
              <w:rPr>
                <w:rFonts w:hint="eastAsia"/>
                <w:highlight w:val="none"/>
                <w:lang w:eastAsia="zh-CN"/>
              </w:rPr>
              <w:t>（</w:t>
            </w:r>
            <w:r>
              <w:rPr>
                <w:rFonts w:hint="eastAsia" w:ascii="方正书宋简体" w:hAnsi="黑体" w:eastAsia="方正书宋简体" w:cs="宋体"/>
                <w:color w:val="000000"/>
                <w:kern w:val="0"/>
                <w:szCs w:val="21"/>
                <w:highlight w:val="none"/>
                <w:lang w:val="en-US" w:eastAsia="zh-CN"/>
              </w:rPr>
              <w:t>2.5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2.5</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①项目按照规定的程序申请设立，得</w:t>
            </w:r>
            <w:r>
              <w:rPr>
                <w:rFonts w:hint="eastAsia" w:ascii="方正书宋简体" w:hAnsi="黑体" w:eastAsia="方正书宋简体" w:cs="宋体"/>
                <w:color w:val="000000"/>
                <w:kern w:val="0"/>
                <w:szCs w:val="21"/>
                <w:highlight w:val="none"/>
                <w:lang w:val="en-US" w:eastAsia="zh-CN"/>
              </w:rPr>
              <w:t>1</w:t>
            </w:r>
            <w:r>
              <w:rPr>
                <w:rFonts w:hint="eastAsia" w:ascii="方正书宋简体" w:hAnsi="黑体" w:eastAsia="方正书宋简体" w:cs="宋体"/>
                <w:color w:val="000000"/>
                <w:kern w:val="0"/>
                <w:szCs w:val="21"/>
                <w:highlight w:val="none"/>
              </w:rPr>
              <w:t>.5分，不符合不得分；</w:t>
            </w:r>
            <w:r>
              <w:rPr>
                <w:rFonts w:hint="eastAsia" w:ascii="方正书宋简体" w:hAnsi="黑体" w:eastAsia="方正书宋简体" w:cs="宋体"/>
                <w:color w:val="000000"/>
                <w:kern w:val="0"/>
                <w:szCs w:val="21"/>
                <w:highlight w:val="none"/>
              </w:rPr>
              <w:br w:type="textWrapping"/>
            </w:r>
            <w:r>
              <w:rPr>
                <w:rFonts w:hint="eastAsia" w:ascii="方正书宋简体" w:hAnsi="黑体" w:eastAsia="方正书宋简体" w:cs="宋体"/>
                <w:color w:val="000000"/>
                <w:kern w:val="0"/>
                <w:szCs w:val="21"/>
                <w:highlight w:val="none"/>
              </w:rPr>
              <w:t>②审批文件、材料符合相关要求，得</w:t>
            </w:r>
            <w:r>
              <w:rPr>
                <w:rFonts w:hint="eastAsia" w:ascii="方正书宋简体" w:hAnsi="黑体" w:eastAsia="方正书宋简体" w:cs="宋体"/>
                <w:color w:val="000000"/>
                <w:kern w:val="0"/>
                <w:szCs w:val="21"/>
                <w:highlight w:val="none"/>
                <w:lang w:val="en-US" w:eastAsia="zh-CN"/>
              </w:rPr>
              <w:t>1</w:t>
            </w:r>
            <w:r>
              <w:rPr>
                <w:rFonts w:hint="eastAsia" w:ascii="方正书宋简体" w:hAnsi="黑体" w:eastAsia="方正书宋简体" w:cs="宋体"/>
                <w:color w:val="000000"/>
                <w:kern w:val="0"/>
                <w:szCs w:val="21"/>
                <w:highlight w:val="none"/>
              </w:rPr>
              <w:t>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3" w:hRule="atLeast"/>
          <w:jc w:val="center"/>
        </w:trPr>
        <w:tc>
          <w:tcPr>
            <w:tcW w:w="845"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488"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绩效目标</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5分）</w:t>
            </w:r>
            <w:r>
              <w:rPr>
                <w:rFonts w:hint="eastAsia" w:ascii="方正书宋简体" w:hAnsi="黑体" w:eastAsia="方正书宋简体" w:cs="宋体"/>
                <w:color w:val="000000"/>
                <w:kern w:val="0"/>
                <w:szCs w:val="21"/>
                <w:highlight w:val="none"/>
              </w:rPr>
              <w:t>　</w:t>
            </w: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绩效目标</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合理性</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rPr>
              <w:t>2.5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65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2.5</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①项目有绩效目标，得1.5分，不符合不得分；</w:t>
            </w:r>
            <w:r>
              <w:rPr>
                <w:rFonts w:hint="eastAsia" w:ascii="方正书宋简体" w:hAnsi="黑体" w:eastAsia="方正书宋简体" w:cs="宋体"/>
                <w:color w:val="000000"/>
                <w:kern w:val="0"/>
                <w:szCs w:val="21"/>
                <w:highlight w:val="none"/>
              </w:rPr>
              <w:br w:type="textWrapping"/>
            </w:r>
            <w:r>
              <w:rPr>
                <w:rFonts w:hint="eastAsia" w:ascii="方正书宋简体" w:hAnsi="黑体" w:eastAsia="方正书宋简体" w:cs="宋体"/>
                <w:color w:val="000000"/>
                <w:kern w:val="0"/>
                <w:szCs w:val="21"/>
                <w:highlight w:val="none"/>
              </w:rPr>
              <w:t>②项目绩效目标与实际工作内容具有相关性，得1分，不符合不得分。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3" w:hRule="atLeast"/>
          <w:jc w:val="center"/>
        </w:trPr>
        <w:tc>
          <w:tcPr>
            <w:tcW w:w="845"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488"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绩效指标</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明确性</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rPr>
              <w:t>2.5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65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2.5</w:t>
            </w:r>
            <w:r>
              <w:rPr>
                <w:rFonts w:hint="eastAsia" w:ascii="方正书宋简体" w:hAnsi="黑体" w:eastAsia="方正书宋简体" w:cs="宋体"/>
                <w:color w:val="000000"/>
                <w:kern w:val="0"/>
                <w:szCs w:val="21"/>
                <w:highlight w:val="none"/>
              </w:rPr>
              <w:br w:type="textWrapping"/>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①将项目绩效目标细化分解为具体的绩效指标，得1.5分，不符合不得分；</w:t>
            </w:r>
            <w:r>
              <w:rPr>
                <w:rFonts w:hint="eastAsia" w:ascii="方正书宋简体" w:hAnsi="黑体" w:eastAsia="方正书宋简体" w:cs="宋体"/>
                <w:color w:val="000000"/>
                <w:kern w:val="0"/>
                <w:szCs w:val="21"/>
                <w:highlight w:val="none"/>
              </w:rPr>
              <w:br w:type="textWrapping"/>
            </w:r>
            <w:r>
              <w:rPr>
                <w:rFonts w:hint="eastAsia" w:ascii="方正书宋简体" w:hAnsi="黑体" w:eastAsia="方正书宋简体" w:cs="宋体"/>
                <w:color w:val="000000"/>
                <w:kern w:val="0"/>
                <w:szCs w:val="21"/>
                <w:highlight w:val="none"/>
              </w:rPr>
              <w:t>②与项目目标任务数或计划数相对应，得1分，不符合不得分。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jc w:val="center"/>
        </w:trPr>
        <w:tc>
          <w:tcPr>
            <w:tcW w:w="845"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488"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资金投入</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5分）</w:t>
            </w:r>
          </w:p>
          <w:p>
            <w:pPr>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　</w:t>
            </w: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预算编制</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科学性</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lang w:val="en-US" w:eastAsia="zh-CN"/>
              </w:rPr>
              <w:t>2.5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2.5</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①预算内容与项目内容匹配，得1</w:t>
            </w:r>
            <w:r>
              <w:rPr>
                <w:rFonts w:hint="eastAsia" w:ascii="方正书宋简体" w:hAnsi="黑体" w:eastAsia="方正书宋简体" w:cs="宋体"/>
                <w:color w:val="000000"/>
                <w:kern w:val="0"/>
                <w:szCs w:val="21"/>
                <w:highlight w:val="none"/>
                <w:lang w:val="en-US" w:eastAsia="zh-CN"/>
              </w:rPr>
              <w:t>.5</w:t>
            </w:r>
            <w:r>
              <w:rPr>
                <w:rFonts w:hint="eastAsia" w:ascii="方正书宋简体" w:hAnsi="黑体" w:eastAsia="方正书宋简体" w:cs="宋体"/>
                <w:color w:val="000000"/>
                <w:kern w:val="0"/>
                <w:szCs w:val="21"/>
                <w:highlight w:val="none"/>
              </w:rPr>
              <w:t>分，不符合不得分；</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②预算确定的项目投资额或资金量与工作任务相匹配，得</w:t>
            </w:r>
            <w:r>
              <w:rPr>
                <w:rFonts w:hint="eastAsia" w:ascii="方正书宋简体" w:hAnsi="黑体" w:eastAsia="方正书宋简体" w:cs="宋体"/>
                <w:color w:val="000000"/>
                <w:kern w:val="0"/>
                <w:szCs w:val="21"/>
                <w:highlight w:val="none"/>
                <w:lang w:val="en-US" w:eastAsia="zh-CN"/>
              </w:rPr>
              <w:t>1</w:t>
            </w:r>
            <w:r>
              <w:rPr>
                <w:rFonts w:hint="eastAsia" w:ascii="方正书宋简体" w:hAnsi="黑体" w:eastAsia="方正书宋简体" w:cs="宋体"/>
                <w:color w:val="000000"/>
                <w:kern w:val="0"/>
                <w:szCs w:val="21"/>
                <w:highlight w:val="none"/>
              </w:rPr>
              <w:t>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4" w:hRule="atLeast"/>
          <w:jc w:val="center"/>
        </w:trPr>
        <w:tc>
          <w:tcPr>
            <w:tcW w:w="845"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488"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资金分配</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合理性</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lang w:val="en-US" w:eastAsia="zh-CN"/>
              </w:rPr>
              <w:t>2.5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2.5</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①预算资金分配依据充分，得</w:t>
            </w:r>
            <w:r>
              <w:rPr>
                <w:rFonts w:hint="eastAsia" w:ascii="方正书宋简体" w:hAnsi="黑体" w:eastAsia="方正书宋简体" w:cs="宋体"/>
                <w:color w:val="000000"/>
                <w:kern w:val="0"/>
                <w:szCs w:val="21"/>
                <w:highlight w:val="none"/>
                <w:lang w:val="en-US" w:eastAsia="zh-CN"/>
              </w:rPr>
              <w:t>1.5</w:t>
            </w:r>
            <w:r>
              <w:rPr>
                <w:rFonts w:hint="eastAsia" w:ascii="方正书宋简体" w:hAnsi="黑体" w:eastAsia="方正书宋简体" w:cs="宋体"/>
                <w:color w:val="000000"/>
                <w:kern w:val="0"/>
                <w:szCs w:val="21"/>
                <w:highlight w:val="none"/>
              </w:rPr>
              <w:t>分，不符合不得分；</w:t>
            </w:r>
            <w:r>
              <w:rPr>
                <w:rFonts w:hint="eastAsia" w:ascii="方正书宋简体" w:hAnsi="黑体" w:eastAsia="方正书宋简体" w:cs="宋体"/>
                <w:color w:val="000000"/>
                <w:kern w:val="0"/>
                <w:szCs w:val="21"/>
                <w:highlight w:val="none"/>
              </w:rPr>
              <w:br w:type="textWrapping"/>
            </w:r>
            <w:r>
              <w:rPr>
                <w:rFonts w:hint="eastAsia" w:ascii="方正书宋简体" w:hAnsi="黑体" w:eastAsia="方正书宋简体" w:cs="宋体"/>
                <w:color w:val="000000"/>
                <w:kern w:val="0"/>
                <w:szCs w:val="21"/>
                <w:highlight w:val="none"/>
              </w:rPr>
              <w:t>②资金分配额度合理，得</w:t>
            </w:r>
            <w:r>
              <w:rPr>
                <w:rFonts w:hint="eastAsia" w:ascii="方正书宋简体" w:hAnsi="黑体" w:eastAsia="方正书宋简体" w:cs="宋体"/>
                <w:color w:val="000000"/>
                <w:kern w:val="0"/>
                <w:szCs w:val="21"/>
                <w:highlight w:val="none"/>
                <w:lang w:val="en-US" w:eastAsia="zh-CN"/>
              </w:rPr>
              <w:t>1</w:t>
            </w:r>
            <w:r>
              <w:rPr>
                <w:rFonts w:hint="eastAsia" w:ascii="方正书宋简体" w:hAnsi="黑体" w:eastAsia="方正书宋简体" w:cs="宋体"/>
                <w:color w:val="000000"/>
                <w:kern w:val="0"/>
                <w:szCs w:val="21"/>
                <w:highlight w:val="none"/>
              </w:rPr>
              <w:t>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0" w:hRule="atLeast"/>
          <w:jc w:val="center"/>
        </w:trPr>
        <w:tc>
          <w:tcPr>
            <w:tcW w:w="845" w:type="pct"/>
            <w:vMerge w:val="restart"/>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过程</w:t>
            </w:r>
          </w:p>
          <w:p>
            <w:pPr>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（1</w:t>
            </w:r>
            <w:r>
              <w:rPr>
                <w:rFonts w:hint="eastAsia" w:ascii="方正书宋简体" w:hAnsi="黑体" w:eastAsia="方正书宋简体" w:cs="宋体"/>
                <w:color w:val="000000"/>
                <w:kern w:val="0"/>
                <w:szCs w:val="21"/>
                <w:highlight w:val="none"/>
                <w:lang w:val="en-US" w:eastAsia="zh-CN"/>
              </w:rPr>
              <w:t>5</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　　</w:t>
            </w:r>
          </w:p>
        </w:tc>
        <w:tc>
          <w:tcPr>
            <w:tcW w:w="1488"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资金管理</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5）</w:t>
            </w: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资金到位率</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资金到位率=（实际到位资金/预算资金）×100%。</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90%-100%得2</w:t>
            </w:r>
            <w:r>
              <w:rPr>
                <w:rFonts w:hint="eastAsia" w:ascii="方正书宋简体" w:hAnsi="黑体" w:eastAsia="方正书宋简体" w:cs="宋体"/>
                <w:color w:val="000000"/>
                <w:kern w:val="0"/>
                <w:szCs w:val="21"/>
                <w:highlight w:val="none"/>
                <w:lang w:val="en-US" w:eastAsia="zh-CN"/>
              </w:rPr>
              <w:t>.5</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80%-89%得1分；</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60%-79%得0.5分；</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60%以下，不得分。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jc w:val="center"/>
        </w:trPr>
        <w:tc>
          <w:tcPr>
            <w:tcW w:w="845"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488"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预算执行率</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预算执行率=（实际支出资金/实际到位资金）×100%。90%-100%得2</w:t>
            </w:r>
            <w:r>
              <w:rPr>
                <w:rFonts w:hint="eastAsia" w:ascii="方正书宋简体" w:hAnsi="黑体" w:eastAsia="方正书宋简体" w:cs="宋体"/>
                <w:color w:val="000000"/>
                <w:kern w:val="0"/>
                <w:szCs w:val="21"/>
                <w:highlight w:val="none"/>
                <w:lang w:val="en-US" w:eastAsia="zh-CN"/>
              </w:rPr>
              <w:t>.5</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80%-89%得1分；</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60%-79%得0.5分；</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60%以下，不得分。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jc w:val="center"/>
        </w:trPr>
        <w:tc>
          <w:tcPr>
            <w:tcW w:w="845"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48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资金管理</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5分）</w:t>
            </w: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资金使用</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合规性</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lang w:val="en-US" w:eastAsia="zh-CN"/>
              </w:rPr>
              <w:t>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65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r>
              <w:rPr>
                <w:rFonts w:hint="eastAsia" w:ascii="方正书宋简体" w:hAnsi="黑体" w:eastAsia="方正书宋简体" w:cs="宋体"/>
                <w:color w:val="000000"/>
                <w:kern w:val="0"/>
                <w:szCs w:val="21"/>
                <w:highlight w:val="none"/>
                <w:lang w:val="en-US" w:eastAsia="zh-CN"/>
              </w:rPr>
              <w:t>5</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①符合国家财经法规和财务管理制度以及有关专项资金管理办法的规定，得</w:t>
            </w:r>
            <w:r>
              <w:rPr>
                <w:rFonts w:hint="eastAsia" w:ascii="方正书宋简体" w:hAnsi="黑体" w:eastAsia="方正书宋简体" w:cs="宋体"/>
                <w:color w:val="000000"/>
                <w:kern w:val="0"/>
                <w:szCs w:val="21"/>
                <w:highlight w:val="none"/>
                <w:lang w:val="en-US" w:eastAsia="zh-CN"/>
              </w:rPr>
              <w:t>2.5</w:t>
            </w:r>
            <w:r>
              <w:rPr>
                <w:rFonts w:hint="eastAsia" w:ascii="方正书宋简体" w:hAnsi="黑体" w:eastAsia="方正书宋简体" w:cs="宋体"/>
                <w:color w:val="000000"/>
                <w:kern w:val="0"/>
                <w:szCs w:val="21"/>
                <w:highlight w:val="none"/>
              </w:rPr>
              <w:t>分，不符合不得分；</w:t>
            </w:r>
            <w:r>
              <w:rPr>
                <w:rFonts w:hint="eastAsia" w:ascii="方正书宋简体" w:hAnsi="黑体" w:eastAsia="方正书宋简体" w:cs="宋体"/>
                <w:color w:val="000000"/>
                <w:kern w:val="0"/>
                <w:szCs w:val="21"/>
                <w:highlight w:val="none"/>
              </w:rPr>
              <w:br w:type="textWrapping"/>
            </w:r>
            <w:r>
              <w:rPr>
                <w:rFonts w:hint="eastAsia" w:ascii="方正书宋简体" w:hAnsi="黑体" w:eastAsia="方正书宋简体" w:cs="宋体"/>
                <w:color w:val="000000"/>
                <w:kern w:val="0"/>
                <w:szCs w:val="21"/>
                <w:highlight w:val="none"/>
              </w:rPr>
              <w:t>②资金的拨付有完整的审批程序和手续，得</w:t>
            </w:r>
            <w:r>
              <w:rPr>
                <w:rFonts w:hint="eastAsia" w:ascii="方正书宋简体" w:hAnsi="黑体" w:eastAsia="方正书宋简体" w:cs="宋体"/>
                <w:color w:val="000000"/>
                <w:kern w:val="0"/>
                <w:szCs w:val="21"/>
                <w:highlight w:val="none"/>
                <w:lang w:val="en-US" w:eastAsia="zh-CN"/>
              </w:rPr>
              <w:t>2.5</w:t>
            </w:r>
            <w:r>
              <w:rPr>
                <w:rFonts w:hint="eastAsia" w:ascii="方正书宋简体" w:hAnsi="黑体" w:eastAsia="方正书宋简体" w:cs="宋体"/>
                <w:color w:val="000000"/>
                <w:kern w:val="0"/>
                <w:szCs w:val="21"/>
                <w:highlight w:val="none"/>
              </w:rPr>
              <w:t>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0" w:hRule="atLeast"/>
          <w:jc w:val="center"/>
        </w:trPr>
        <w:tc>
          <w:tcPr>
            <w:tcW w:w="845"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488"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组织实施</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5分）</w:t>
            </w:r>
          </w:p>
          <w:p>
            <w:pPr>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　</w:t>
            </w: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管理制度</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健全性</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①已制定或具有相应的财务和业务管理制度，得</w:t>
            </w:r>
            <w:r>
              <w:rPr>
                <w:rFonts w:hint="eastAsia" w:ascii="方正书宋简体" w:hAnsi="黑体" w:eastAsia="方正书宋简体" w:cs="宋体"/>
                <w:color w:val="000000"/>
                <w:kern w:val="0"/>
                <w:szCs w:val="21"/>
                <w:highlight w:val="none"/>
                <w:lang w:val="en-US" w:eastAsia="zh-CN"/>
              </w:rPr>
              <w:t>1.5</w:t>
            </w:r>
            <w:r>
              <w:rPr>
                <w:rFonts w:hint="eastAsia" w:ascii="方正书宋简体" w:hAnsi="黑体" w:eastAsia="方正书宋简体" w:cs="宋体"/>
                <w:color w:val="000000"/>
                <w:kern w:val="0"/>
                <w:szCs w:val="21"/>
                <w:highlight w:val="none"/>
              </w:rPr>
              <w:t>分，不符合不得分；</w:t>
            </w:r>
            <w:r>
              <w:rPr>
                <w:rFonts w:hint="eastAsia" w:ascii="方正书宋简体" w:hAnsi="黑体" w:eastAsia="方正书宋简体" w:cs="宋体"/>
                <w:color w:val="000000"/>
                <w:kern w:val="0"/>
                <w:szCs w:val="21"/>
                <w:highlight w:val="none"/>
              </w:rPr>
              <w:br w:type="textWrapping"/>
            </w:r>
            <w:r>
              <w:rPr>
                <w:rFonts w:hint="eastAsia" w:ascii="方正书宋简体" w:hAnsi="黑体" w:eastAsia="方正书宋简体" w:cs="宋体"/>
                <w:color w:val="000000"/>
                <w:kern w:val="0"/>
                <w:szCs w:val="21"/>
                <w:highlight w:val="none"/>
              </w:rPr>
              <w:t>②财务和业务管理制度合法、合规、完整，得1分，不符合不得分。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845"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488"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制度执行</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有效性</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2.5分）</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遵守相关法律法规和相关管理规定，得2</w:t>
            </w:r>
            <w:r>
              <w:rPr>
                <w:rFonts w:hint="eastAsia" w:ascii="方正书宋简体" w:hAnsi="黑体" w:eastAsia="方正书宋简体" w:cs="宋体"/>
                <w:color w:val="000000"/>
                <w:kern w:val="0"/>
                <w:szCs w:val="21"/>
                <w:highlight w:val="none"/>
                <w:lang w:val="en-US" w:eastAsia="zh-CN"/>
              </w:rPr>
              <w:t>.5</w:t>
            </w:r>
            <w:r>
              <w:rPr>
                <w:rFonts w:hint="eastAsia" w:ascii="方正书宋简体" w:hAnsi="黑体" w:eastAsia="方正书宋简体" w:cs="宋体"/>
                <w:color w:val="000000"/>
                <w:kern w:val="0"/>
                <w:szCs w:val="21"/>
                <w:highlight w:val="none"/>
              </w:rPr>
              <w:t>分，不完善得1分，未建立得0分。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jc w:val="center"/>
        </w:trPr>
        <w:tc>
          <w:tcPr>
            <w:tcW w:w="845"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产出</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w:t>
            </w:r>
            <w:r>
              <w:rPr>
                <w:rFonts w:hint="eastAsia" w:ascii="方正书宋简体" w:hAnsi="黑体" w:eastAsia="方正书宋简体" w:cs="宋体"/>
                <w:color w:val="000000"/>
                <w:kern w:val="0"/>
                <w:szCs w:val="21"/>
                <w:highlight w:val="none"/>
                <w:lang w:val="en-US" w:eastAsia="zh-CN"/>
              </w:rPr>
              <w:t>40</w:t>
            </w:r>
            <w:r>
              <w:rPr>
                <w:rFonts w:hint="eastAsia" w:ascii="方正书宋简体" w:hAnsi="黑体" w:eastAsia="方正书宋简体" w:cs="宋体"/>
                <w:color w:val="000000"/>
                <w:kern w:val="0"/>
                <w:szCs w:val="21"/>
                <w:highlight w:val="none"/>
              </w:rPr>
              <w:t>分）</w:t>
            </w:r>
          </w:p>
        </w:tc>
        <w:tc>
          <w:tcPr>
            <w:tcW w:w="1488"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产出数量</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10分）</w:t>
            </w:r>
          </w:p>
        </w:tc>
        <w:tc>
          <w:tcPr>
            <w:tcW w:w="917"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享受职工医疗、居民医疗、生育保险待遇人数共计9996000人完成率100%</w:t>
            </w:r>
          </w:p>
          <w:p>
            <w:pPr>
              <w:widowControl/>
              <w:spacing w:line="240" w:lineRule="exact"/>
              <w:jc w:val="center"/>
              <w:rPr>
                <w:rFonts w:hint="default" w:ascii="方正书宋简体" w:hAnsi="黑体" w:eastAsia="方正书宋简体" w:cs="宋体"/>
                <w:color w:val="000000"/>
                <w:kern w:val="0"/>
                <w:szCs w:val="21"/>
                <w:highlight w:val="none"/>
                <w:lang w:val="en-US"/>
              </w:rPr>
            </w:pPr>
            <w:r>
              <w:rPr>
                <w:rFonts w:hint="eastAsia" w:ascii="方正书宋简体" w:hAnsi="黑体" w:eastAsia="方正书宋简体" w:cs="宋体"/>
                <w:color w:val="000000"/>
                <w:kern w:val="0"/>
                <w:szCs w:val="21"/>
                <w:highlight w:val="none"/>
                <w:lang w:val="en-US" w:eastAsia="zh-CN"/>
              </w:rPr>
              <w:t>（4分）</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4</w:t>
            </w:r>
          </w:p>
        </w:tc>
        <w:tc>
          <w:tcPr>
            <w:tcW w:w="108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rPr>
            </w:pPr>
            <w:r>
              <w:rPr>
                <w:rFonts w:hint="eastAsia" w:ascii="方正书宋简体" w:hAnsi="黑体" w:eastAsia="方正书宋简体" w:cs="宋体"/>
                <w:color w:val="000000"/>
                <w:kern w:val="0"/>
                <w:szCs w:val="21"/>
                <w:highlight w:val="none"/>
                <w:lang w:val="en-US" w:eastAsia="zh-CN"/>
              </w:rPr>
              <w:t>享受职工医疗保险待遇5970000人、居民医疗保待遇4000000人、生育保险待遇26000人完成率达到95%-100%得4分，每少于0.5%扣1分，扣完为止。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jc w:val="center"/>
        </w:trPr>
        <w:tc>
          <w:tcPr>
            <w:tcW w:w="845"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488"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p>
        </w:tc>
        <w:tc>
          <w:tcPr>
            <w:tcW w:w="917"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医疗保险等业务宣传4次完成率100%</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（3分）</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3</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医疗保险等业务宣传4次完成率达到95%-100%得3分，每少于5%扣1分，扣完为止。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845"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488"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举办医疗保险会议3次完成率100%</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（1分）</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举办医疗保险会议3次完成率达到95%-100%得1分，每少于5%扣0.1分，扣完为止。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845"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488"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转移业务邮寄单据数10000件完成率100%</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（2分）</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转移业务邮寄单据数10000件完成率达到95%-100%得2分，每少于5%扣1分，扣完为止。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845"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488"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产出质量</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10分）</w:t>
            </w: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待遇发放合规率100%</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（4分）</w:t>
            </w:r>
          </w:p>
        </w:tc>
        <w:tc>
          <w:tcPr>
            <w:tcW w:w="65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4</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val="en-US" w:eastAsia="zh-CN"/>
              </w:rPr>
              <w:t>待遇发放合规率达到95-100%得4分，达到</w:t>
            </w:r>
            <w:r>
              <w:rPr>
                <w:rFonts w:hint="eastAsia" w:ascii="方正书宋简体" w:hAnsi="黑体" w:eastAsia="方正书宋简体" w:cs="宋体"/>
                <w:color w:val="000000"/>
                <w:kern w:val="0"/>
                <w:szCs w:val="21"/>
                <w:highlight w:val="none"/>
              </w:rPr>
              <w:t>80%-94%得</w:t>
            </w:r>
            <w:r>
              <w:rPr>
                <w:rFonts w:hint="eastAsia" w:ascii="方正书宋简体" w:hAnsi="黑体" w:eastAsia="方正书宋简体" w:cs="宋体"/>
                <w:color w:val="000000"/>
                <w:kern w:val="0"/>
                <w:szCs w:val="21"/>
                <w:highlight w:val="none"/>
                <w:lang w:val="en-US" w:eastAsia="zh-CN"/>
              </w:rPr>
              <w:t>2</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60%-79%得</w:t>
            </w:r>
            <w:r>
              <w:rPr>
                <w:rFonts w:hint="eastAsia" w:ascii="方正书宋简体" w:hAnsi="黑体" w:eastAsia="方正书宋简体" w:cs="宋体"/>
                <w:color w:val="000000"/>
                <w:kern w:val="0"/>
                <w:szCs w:val="21"/>
                <w:highlight w:val="none"/>
                <w:lang w:val="en-US" w:eastAsia="zh-CN"/>
              </w:rPr>
              <w:t>2</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60%以下，不得分</w:t>
            </w:r>
            <w:r>
              <w:rPr>
                <w:rFonts w:hint="eastAsia" w:ascii="方正书宋简体" w:hAnsi="黑体" w:eastAsia="方正书宋简体" w:cs="宋体"/>
                <w:color w:val="000000"/>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jc w:val="center"/>
        </w:trPr>
        <w:tc>
          <w:tcPr>
            <w:tcW w:w="845"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488" w:type="pct"/>
            <w:vMerge w:val="continue"/>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业务宣传率100%</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（3分）</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3</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val="en-US" w:eastAsia="zh-CN"/>
              </w:rPr>
              <w:t>业务宣传率达到95-100%得3分，达到</w:t>
            </w:r>
            <w:r>
              <w:rPr>
                <w:rFonts w:hint="eastAsia" w:ascii="方正书宋简体" w:hAnsi="黑体" w:eastAsia="方正书宋简体" w:cs="宋体"/>
                <w:color w:val="000000"/>
                <w:kern w:val="0"/>
                <w:szCs w:val="21"/>
                <w:highlight w:val="none"/>
              </w:rPr>
              <w:t>80%-94%得</w:t>
            </w:r>
            <w:r>
              <w:rPr>
                <w:rFonts w:hint="eastAsia" w:ascii="方正书宋简体" w:hAnsi="黑体" w:eastAsia="方正书宋简体" w:cs="宋体"/>
                <w:color w:val="000000"/>
                <w:kern w:val="0"/>
                <w:szCs w:val="21"/>
                <w:highlight w:val="none"/>
                <w:lang w:val="en-US" w:eastAsia="zh-CN"/>
              </w:rPr>
              <w:t>1.5</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60%-79%得</w:t>
            </w:r>
            <w:r>
              <w:rPr>
                <w:rFonts w:hint="eastAsia" w:ascii="方正书宋简体" w:hAnsi="黑体" w:eastAsia="方正书宋简体" w:cs="宋体"/>
                <w:color w:val="000000"/>
                <w:kern w:val="0"/>
                <w:szCs w:val="21"/>
                <w:highlight w:val="none"/>
                <w:lang w:val="en-US" w:eastAsia="zh-CN"/>
              </w:rPr>
              <w:t>0.5</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60%以下，不得分</w:t>
            </w:r>
            <w:r>
              <w:rPr>
                <w:rFonts w:hint="eastAsia" w:ascii="方正书宋简体" w:hAnsi="黑体" w:eastAsia="方正书宋简体" w:cs="宋体"/>
                <w:color w:val="000000"/>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7" w:hRule="atLeast"/>
          <w:jc w:val="center"/>
        </w:trPr>
        <w:tc>
          <w:tcPr>
            <w:tcW w:w="845"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488" w:type="pct"/>
            <w:vMerge w:val="continue"/>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培训到位率100%</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（1分）</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val="en-US" w:eastAsia="zh-CN"/>
              </w:rPr>
              <w:t>培训到位率达到95-100%得1分，达到</w:t>
            </w:r>
            <w:r>
              <w:rPr>
                <w:rFonts w:hint="eastAsia" w:ascii="方正书宋简体" w:hAnsi="黑体" w:eastAsia="方正书宋简体" w:cs="宋体"/>
                <w:color w:val="000000"/>
                <w:kern w:val="0"/>
                <w:szCs w:val="21"/>
                <w:highlight w:val="none"/>
              </w:rPr>
              <w:t>80%-94%得</w:t>
            </w:r>
            <w:r>
              <w:rPr>
                <w:rFonts w:hint="eastAsia" w:ascii="方正书宋简体" w:hAnsi="黑体" w:eastAsia="方正书宋简体" w:cs="宋体"/>
                <w:color w:val="000000"/>
                <w:kern w:val="0"/>
                <w:szCs w:val="21"/>
                <w:highlight w:val="none"/>
                <w:lang w:val="en-US" w:eastAsia="zh-CN"/>
              </w:rPr>
              <w:t>0.5</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60%-79%得</w:t>
            </w:r>
            <w:r>
              <w:rPr>
                <w:rFonts w:hint="eastAsia" w:ascii="方正书宋简体" w:hAnsi="黑体" w:eastAsia="方正书宋简体" w:cs="宋体"/>
                <w:color w:val="000000"/>
                <w:kern w:val="0"/>
                <w:szCs w:val="21"/>
                <w:highlight w:val="none"/>
                <w:lang w:val="en-US" w:eastAsia="zh-CN"/>
              </w:rPr>
              <w:t>0.1</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60%以下，不得分</w:t>
            </w:r>
            <w:r>
              <w:rPr>
                <w:rFonts w:hint="eastAsia" w:ascii="方正书宋简体" w:hAnsi="黑体" w:eastAsia="方正书宋简体" w:cs="宋体"/>
                <w:color w:val="000000"/>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845"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488" w:type="pct"/>
            <w:vMerge w:val="continue"/>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单据发放率100%</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(2分）</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val="en-US" w:eastAsia="zh-CN"/>
              </w:rPr>
              <w:t>单据发放率达到95-100%得2分，达到</w:t>
            </w:r>
            <w:r>
              <w:rPr>
                <w:rFonts w:hint="eastAsia" w:ascii="方正书宋简体" w:hAnsi="黑体" w:eastAsia="方正书宋简体" w:cs="宋体"/>
                <w:color w:val="000000"/>
                <w:kern w:val="0"/>
                <w:szCs w:val="21"/>
                <w:highlight w:val="none"/>
              </w:rPr>
              <w:t>80%-94%得</w:t>
            </w:r>
            <w:r>
              <w:rPr>
                <w:rFonts w:hint="eastAsia" w:ascii="方正书宋简体" w:hAnsi="黑体" w:eastAsia="方正书宋简体" w:cs="宋体"/>
                <w:color w:val="000000"/>
                <w:kern w:val="0"/>
                <w:szCs w:val="21"/>
                <w:highlight w:val="none"/>
                <w:lang w:val="en-US" w:eastAsia="zh-CN"/>
              </w:rPr>
              <w:t>1.5</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60%-79%得</w:t>
            </w:r>
            <w:r>
              <w:rPr>
                <w:rFonts w:hint="eastAsia" w:ascii="方正书宋简体" w:hAnsi="黑体" w:eastAsia="方正书宋简体" w:cs="宋体"/>
                <w:color w:val="000000"/>
                <w:kern w:val="0"/>
                <w:szCs w:val="21"/>
                <w:highlight w:val="none"/>
                <w:lang w:val="en-US" w:eastAsia="zh-CN"/>
              </w:rPr>
              <w:t>0.5</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60%以下，不得分</w:t>
            </w:r>
            <w:r>
              <w:rPr>
                <w:rFonts w:hint="eastAsia" w:ascii="方正书宋简体" w:hAnsi="黑体" w:eastAsia="方正书宋简体" w:cs="宋体"/>
                <w:color w:val="000000"/>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488" w:type="pct"/>
            <w:vMerge w:val="restart"/>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产出时效</w:t>
            </w:r>
          </w:p>
          <w:p>
            <w:pPr>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10分）</w:t>
            </w: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医疗、生育保险待遇发放工作完成及时性100%</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（4分）</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4</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val="en-US" w:eastAsia="zh-CN"/>
              </w:rPr>
              <w:t>医疗保险待遇发放工作完成及时性达到95-100%得4分，达到</w:t>
            </w:r>
            <w:r>
              <w:rPr>
                <w:rFonts w:hint="eastAsia" w:ascii="方正书宋简体" w:hAnsi="黑体" w:eastAsia="方正书宋简体" w:cs="宋体"/>
                <w:color w:val="000000"/>
                <w:kern w:val="0"/>
                <w:szCs w:val="21"/>
                <w:highlight w:val="none"/>
              </w:rPr>
              <w:t>80%-94%得</w:t>
            </w:r>
            <w:r>
              <w:rPr>
                <w:rFonts w:hint="eastAsia" w:ascii="方正书宋简体" w:hAnsi="黑体" w:eastAsia="方正书宋简体" w:cs="宋体"/>
                <w:color w:val="000000"/>
                <w:kern w:val="0"/>
                <w:szCs w:val="21"/>
                <w:highlight w:val="none"/>
                <w:lang w:val="en-US" w:eastAsia="zh-CN"/>
              </w:rPr>
              <w:t>2</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60%-79%得</w:t>
            </w:r>
            <w:r>
              <w:rPr>
                <w:rFonts w:hint="eastAsia" w:ascii="方正书宋简体" w:hAnsi="黑体" w:eastAsia="方正书宋简体" w:cs="宋体"/>
                <w:color w:val="000000"/>
                <w:kern w:val="0"/>
                <w:szCs w:val="21"/>
                <w:highlight w:val="none"/>
                <w:lang w:val="en-US" w:eastAsia="zh-CN"/>
              </w:rPr>
              <w:t>1</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60%以下，不得分</w:t>
            </w:r>
            <w:r>
              <w:rPr>
                <w:rFonts w:hint="eastAsia" w:ascii="方正书宋简体" w:hAnsi="黑体" w:eastAsia="方正书宋简体" w:cs="宋体"/>
                <w:color w:val="000000"/>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3" w:hRule="atLeast"/>
          <w:jc w:val="center"/>
        </w:trPr>
        <w:tc>
          <w:tcPr>
            <w:tcW w:w="845"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488"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lang w:eastAsia="zh-CN"/>
              </w:rPr>
            </w:pP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宣传工作完成及时性100%</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（3分）</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3</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val="en-US" w:eastAsia="zh-CN"/>
              </w:rPr>
              <w:t>宣传工作完成及时性达到95-100%得3分，达到</w:t>
            </w:r>
            <w:r>
              <w:rPr>
                <w:rFonts w:hint="eastAsia" w:ascii="方正书宋简体" w:hAnsi="黑体" w:eastAsia="方正书宋简体" w:cs="宋体"/>
                <w:color w:val="000000"/>
                <w:kern w:val="0"/>
                <w:szCs w:val="21"/>
                <w:highlight w:val="none"/>
              </w:rPr>
              <w:t>80%-94%得</w:t>
            </w:r>
            <w:r>
              <w:rPr>
                <w:rFonts w:hint="eastAsia" w:ascii="方正书宋简体" w:hAnsi="黑体" w:eastAsia="方正书宋简体" w:cs="宋体"/>
                <w:color w:val="000000"/>
                <w:kern w:val="0"/>
                <w:szCs w:val="21"/>
                <w:highlight w:val="none"/>
                <w:lang w:val="en-US" w:eastAsia="zh-CN"/>
              </w:rPr>
              <w:t>1.5</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60%-79%得</w:t>
            </w:r>
            <w:r>
              <w:rPr>
                <w:rFonts w:hint="eastAsia" w:ascii="方正书宋简体" w:hAnsi="黑体" w:eastAsia="方正书宋简体" w:cs="宋体"/>
                <w:color w:val="000000"/>
                <w:kern w:val="0"/>
                <w:szCs w:val="21"/>
                <w:highlight w:val="none"/>
                <w:lang w:val="en-US" w:eastAsia="zh-CN"/>
              </w:rPr>
              <w:t>0.5</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60%以下，不得分</w:t>
            </w:r>
            <w:r>
              <w:rPr>
                <w:rFonts w:hint="eastAsia" w:ascii="方正书宋简体" w:hAnsi="黑体" w:eastAsia="方正书宋简体" w:cs="宋体"/>
                <w:color w:val="000000"/>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488"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lang w:eastAsia="zh-CN"/>
              </w:rPr>
            </w:pP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培训工作完成及时性100%</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（1分）</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val="en-US" w:eastAsia="zh-CN"/>
              </w:rPr>
              <w:t>培训工作完成及时性达到95-100%得1分，达到</w:t>
            </w:r>
            <w:r>
              <w:rPr>
                <w:rFonts w:hint="eastAsia" w:ascii="方正书宋简体" w:hAnsi="黑体" w:eastAsia="方正书宋简体" w:cs="宋体"/>
                <w:color w:val="000000"/>
                <w:kern w:val="0"/>
                <w:szCs w:val="21"/>
                <w:highlight w:val="none"/>
              </w:rPr>
              <w:t>80%-94%得</w:t>
            </w:r>
            <w:r>
              <w:rPr>
                <w:rFonts w:hint="eastAsia" w:ascii="方正书宋简体" w:hAnsi="黑体" w:eastAsia="方正书宋简体" w:cs="宋体"/>
                <w:color w:val="000000"/>
                <w:kern w:val="0"/>
                <w:szCs w:val="21"/>
                <w:highlight w:val="none"/>
                <w:lang w:val="en-US" w:eastAsia="zh-CN"/>
              </w:rPr>
              <w:t>0.5</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60%-79%得</w:t>
            </w:r>
            <w:r>
              <w:rPr>
                <w:rFonts w:hint="eastAsia" w:ascii="方正书宋简体" w:hAnsi="黑体" w:eastAsia="方正书宋简体" w:cs="宋体"/>
                <w:color w:val="000000"/>
                <w:kern w:val="0"/>
                <w:szCs w:val="21"/>
                <w:highlight w:val="none"/>
                <w:lang w:val="en-US" w:eastAsia="zh-CN"/>
              </w:rPr>
              <w:t>0.1</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60%以下，不得分</w:t>
            </w:r>
            <w:r>
              <w:rPr>
                <w:rFonts w:hint="eastAsia" w:ascii="方正书宋简体" w:hAnsi="黑体" w:eastAsia="方正书宋简体" w:cs="宋体"/>
                <w:color w:val="000000"/>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488"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lang w:eastAsia="zh-CN"/>
              </w:rPr>
            </w:pP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单据发放及时性100%</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（2分）</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val="en-US" w:eastAsia="zh-CN"/>
              </w:rPr>
              <w:t>单据发放及时性达到95-100%得2分，达到</w:t>
            </w:r>
            <w:r>
              <w:rPr>
                <w:rFonts w:hint="eastAsia" w:ascii="方正书宋简体" w:hAnsi="黑体" w:eastAsia="方正书宋简体" w:cs="宋体"/>
                <w:color w:val="000000"/>
                <w:kern w:val="0"/>
                <w:szCs w:val="21"/>
                <w:highlight w:val="none"/>
              </w:rPr>
              <w:t>80%-94%得</w:t>
            </w:r>
            <w:r>
              <w:rPr>
                <w:rFonts w:hint="eastAsia" w:ascii="方正书宋简体" w:hAnsi="黑体" w:eastAsia="方正书宋简体" w:cs="宋体"/>
                <w:color w:val="000000"/>
                <w:kern w:val="0"/>
                <w:szCs w:val="21"/>
                <w:highlight w:val="none"/>
                <w:lang w:val="en-US" w:eastAsia="zh-CN"/>
              </w:rPr>
              <w:t>1.5</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60%-79%得</w:t>
            </w:r>
            <w:r>
              <w:rPr>
                <w:rFonts w:hint="eastAsia" w:ascii="方正书宋简体" w:hAnsi="黑体" w:eastAsia="方正书宋简体" w:cs="宋体"/>
                <w:color w:val="000000"/>
                <w:kern w:val="0"/>
                <w:szCs w:val="21"/>
                <w:highlight w:val="none"/>
                <w:lang w:val="en-US" w:eastAsia="zh-CN"/>
              </w:rPr>
              <w:t>0.5</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60%以下，不得分</w:t>
            </w:r>
            <w:r>
              <w:rPr>
                <w:rFonts w:hint="eastAsia" w:ascii="方正书宋简体" w:hAnsi="黑体" w:eastAsia="方正书宋简体" w:cs="宋体"/>
                <w:color w:val="000000"/>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45"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488"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产出成本</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10分)</w:t>
            </w: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医疗、生育保险待遇发放成本控制率100%</w:t>
            </w:r>
          </w:p>
          <w:p>
            <w:pPr>
              <w:widowControl/>
              <w:spacing w:line="240" w:lineRule="exact"/>
              <w:jc w:val="center"/>
              <w:rPr>
                <w:rFonts w:hint="default" w:ascii="方正书宋简体" w:hAnsi="黑体" w:eastAsia="方正书宋简体" w:cs="宋体"/>
                <w:color w:val="000000"/>
                <w:kern w:val="0"/>
                <w:szCs w:val="21"/>
                <w:highlight w:val="none"/>
                <w:lang w:val="en-US"/>
              </w:rPr>
            </w:pPr>
            <w:r>
              <w:rPr>
                <w:rFonts w:hint="eastAsia" w:ascii="方正书宋简体" w:hAnsi="黑体" w:eastAsia="方正书宋简体" w:cs="宋体"/>
                <w:color w:val="000000"/>
                <w:kern w:val="0"/>
                <w:szCs w:val="21"/>
                <w:highlight w:val="none"/>
                <w:lang w:val="en-US" w:eastAsia="zh-CN"/>
              </w:rPr>
              <w:t>（4分）</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4</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val="en-US" w:eastAsia="zh-CN"/>
              </w:rPr>
              <w:t>医疗保险待遇发放成本控制率达到95-100%得4分，达到</w:t>
            </w:r>
            <w:r>
              <w:rPr>
                <w:rFonts w:hint="eastAsia" w:ascii="方正书宋简体" w:hAnsi="黑体" w:eastAsia="方正书宋简体" w:cs="宋体"/>
                <w:color w:val="000000"/>
                <w:kern w:val="0"/>
                <w:szCs w:val="21"/>
                <w:highlight w:val="none"/>
              </w:rPr>
              <w:t>80%-94%得</w:t>
            </w:r>
            <w:r>
              <w:rPr>
                <w:rFonts w:hint="eastAsia" w:ascii="方正书宋简体" w:hAnsi="黑体" w:eastAsia="方正书宋简体" w:cs="宋体"/>
                <w:color w:val="000000"/>
                <w:kern w:val="0"/>
                <w:szCs w:val="21"/>
                <w:highlight w:val="none"/>
                <w:lang w:val="en-US" w:eastAsia="zh-CN"/>
              </w:rPr>
              <w:t>2</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60%-79%得</w:t>
            </w:r>
            <w:r>
              <w:rPr>
                <w:rFonts w:hint="eastAsia" w:ascii="方正书宋简体" w:hAnsi="黑体" w:eastAsia="方正书宋简体" w:cs="宋体"/>
                <w:color w:val="000000"/>
                <w:kern w:val="0"/>
                <w:szCs w:val="21"/>
                <w:highlight w:val="none"/>
                <w:lang w:val="en-US" w:eastAsia="zh-CN"/>
              </w:rPr>
              <w:t>1</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60%以下，不得分</w:t>
            </w:r>
            <w:r>
              <w:rPr>
                <w:rFonts w:hint="eastAsia" w:ascii="方正书宋简体" w:hAnsi="黑体" w:eastAsia="方正书宋简体" w:cs="宋体"/>
                <w:color w:val="000000"/>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45"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488"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宣传成本控制率100%</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（3分）</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3</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val="en-US" w:eastAsia="zh-CN"/>
              </w:rPr>
              <w:t>宣传成本控制率达到95-100%得3分，达到</w:t>
            </w:r>
            <w:r>
              <w:rPr>
                <w:rFonts w:hint="eastAsia" w:ascii="方正书宋简体" w:hAnsi="黑体" w:eastAsia="方正书宋简体" w:cs="宋体"/>
                <w:color w:val="000000"/>
                <w:kern w:val="0"/>
                <w:szCs w:val="21"/>
                <w:highlight w:val="none"/>
              </w:rPr>
              <w:t>80%-94%得</w:t>
            </w:r>
            <w:r>
              <w:rPr>
                <w:rFonts w:hint="eastAsia" w:ascii="方正书宋简体" w:hAnsi="黑体" w:eastAsia="方正书宋简体" w:cs="宋体"/>
                <w:color w:val="000000"/>
                <w:kern w:val="0"/>
                <w:szCs w:val="21"/>
                <w:highlight w:val="none"/>
                <w:lang w:val="en-US" w:eastAsia="zh-CN"/>
              </w:rPr>
              <w:t>1.5</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60%-79%得</w:t>
            </w:r>
            <w:r>
              <w:rPr>
                <w:rFonts w:hint="eastAsia" w:ascii="方正书宋简体" w:hAnsi="黑体" w:eastAsia="方正书宋简体" w:cs="宋体"/>
                <w:color w:val="000000"/>
                <w:kern w:val="0"/>
                <w:szCs w:val="21"/>
                <w:highlight w:val="none"/>
                <w:lang w:val="en-US" w:eastAsia="zh-CN"/>
              </w:rPr>
              <w:t>0.5</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60%以下，不得分</w:t>
            </w:r>
            <w:r>
              <w:rPr>
                <w:rFonts w:hint="eastAsia" w:ascii="方正书宋简体" w:hAnsi="黑体" w:eastAsia="方正书宋简体" w:cs="宋体"/>
                <w:color w:val="000000"/>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845"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488"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培训成本控制率100%</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（1分）</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val="en-US" w:eastAsia="zh-CN"/>
              </w:rPr>
              <w:t>培训成本控制率达到95-100%得1分，达到</w:t>
            </w:r>
            <w:r>
              <w:rPr>
                <w:rFonts w:hint="eastAsia" w:ascii="方正书宋简体" w:hAnsi="黑体" w:eastAsia="方正书宋简体" w:cs="宋体"/>
                <w:color w:val="000000"/>
                <w:kern w:val="0"/>
                <w:szCs w:val="21"/>
                <w:highlight w:val="none"/>
              </w:rPr>
              <w:t>80%-94%得</w:t>
            </w:r>
            <w:r>
              <w:rPr>
                <w:rFonts w:hint="eastAsia" w:ascii="方正书宋简体" w:hAnsi="黑体" w:eastAsia="方正书宋简体" w:cs="宋体"/>
                <w:color w:val="000000"/>
                <w:kern w:val="0"/>
                <w:szCs w:val="21"/>
                <w:highlight w:val="none"/>
                <w:lang w:val="en-US" w:eastAsia="zh-CN"/>
              </w:rPr>
              <w:t>0.5</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60%-79%得</w:t>
            </w:r>
            <w:r>
              <w:rPr>
                <w:rFonts w:hint="eastAsia" w:ascii="方正书宋简体" w:hAnsi="黑体" w:eastAsia="方正书宋简体" w:cs="宋体"/>
                <w:color w:val="000000"/>
                <w:kern w:val="0"/>
                <w:szCs w:val="21"/>
                <w:highlight w:val="none"/>
                <w:lang w:val="en-US" w:eastAsia="zh-CN"/>
              </w:rPr>
              <w:t>0.1</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60%以下，不得分</w:t>
            </w:r>
            <w:r>
              <w:rPr>
                <w:rFonts w:hint="eastAsia" w:ascii="方正书宋简体" w:hAnsi="黑体" w:eastAsia="方正书宋简体" w:cs="宋体"/>
                <w:color w:val="000000"/>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845"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488"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单据发放成本控制率100%</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（2分）</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val="en-US" w:eastAsia="zh-CN"/>
              </w:rPr>
              <w:t>单据发放成本控制率达到95-100%得2分，达到</w:t>
            </w:r>
            <w:r>
              <w:rPr>
                <w:rFonts w:hint="eastAsia" w:ascii="方正书宋简体" w:hAnsi="黑体" w:eastAsia="方正书宋简体" w:cs="宋体"/>
                <w:color w:val="000000"/>
                <w:kern w:val="0"/>
                <w:szCs w:val="21"/>
                <w:highlight w:val="none"/>
              </w:rPr>
              <w:t>80%-94%得</w:t>
            </w:r>
            <w:r>
              <w:rPr>
                <w:rFonts w:hint="eastAsia" w:ascii="方正书宋简体" w:hAnsi="黑体" w:eastAsia="方正书宋简体" w:cs="宋体"/>
                <w:color w:val="000000"/>
                <w:kern w:val="0"/>
                <w:szCs w:val="21"/>
                <w:highlight w:val="none"/>
                <w:lang w:val="en-US" w:eastAsia="zh-CN"/>
              </w:rPr>
              <w:t>1.5</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60%-79%得</w:t>
            </w:r>
            <w:r>
              <w:rPr>
                <w:rFonts w:hint="eastAsia" w:ascii="方正书宋简体" w:hAnsi="黑体" w:eastAsia="方正书宋简体" w:cs="宋体"/>
                <w:color w:val="000000"/>
                <w:kern w:val="0"/>
                <w:szCs w:val="21"/>
                <w:highlight w:val="none"/>
                <w:lang w:val="en-US" w:eastAsia="zh-CN"/>
              </w:rPr>
              <w:t>0.5</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60%以下，不得分</w:t>
            </w:r>
            <w:r>
              <w:rPr>
                <w:rFonts w:hint="eastAsia" w:ascii="方正书宋简体" w:hAnsi="黑体" w:eastAsia="方正书宋简体" w:cs="宋体"/>
                <w:color w:val="000000"/>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45"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效益</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（20分）　</w:t>
            </w:r>
          </w:p>
        </w:tc>
        <w:tc>
          <w:tcPr>
            <w:tcW w:w="148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社会效益</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(10分）</w:t>
            </w: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解决我市城乡居民医疗保险难题，提高我市医疗保险覆盖面</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（10分）</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10</w:t>
            </w:r>
          </w:p>
        </w:tc>
        <w:tc>
          <w:tcPr>
            <w:tcW w:w="108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明显提高我市医疗保险覆盖面水平</w:t>
            </w:r>
            <w:r>
              <w:rPr>
                <w:rFonts w:hint="eastAsia" w:ascii="方正书宋简体" w:hAnsi="黑体" w:eastAsia="方正书宋简体" w:cs="宋体"/>
                <w:color w:val="000000"/>
                <w:kern w:val="0"/>
                <w:szCs w:val="21"/>
                <w:highlight w:val="none"/>
              </w:rPr>
              <w:t>得</w:t>
            </w:r>
            <w:r>
              <w:rPr>
                <w:rFonts w:hint="eastAsia" w:ascii="方正书宋简体" w:hAnsi="黑体" w:eastAsia="方正书宋简体" w:cs="宋体"/>
                <w:color w:val="000000"/>
                <w:kern w:val="0"/>
                <w:szCs w:val="21"/>
                <w:highlight w:val="none"/>
                <w:lang w:val="en-US" w:eastAsia="zh-CN"/>
              </w:rPr>
              <w:t>10</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较为明显提高</w:t>
            </w:r>
            <w:r>
              <w:rPr>
                <w:rFonts w:hint="eastAsia" w:ascii="方正书宋简体" w:hAnsi="黑体" w:eastAsia="方正书宋简体" w:cs="宋体"/>
                <w:color w:val="000000"/>
                <w:kern w:val="0"/>
                <w:szCs w:val="21"/>
                <w:highlight w:val="none"/>
              </w:rPr>
              <w:t>得</w:t>
            </w:r>
            <w:r>
              <w:rPr>
                <w:rFonts w:hint="eastAsia" w:ascii="方正书宋简体" w:hAnsi="黑体" w:eastAsia="方正书宋简体" w:cs="宋体"/>
                <w:color w:val="000000"/>
                <w:kern w:val="0"/>
                <w:szCs w:val="21"/>
                <w:highlight w:val="none"/>
                <w:lang w:val="en-US" w:eastAsia="zh-CN"/>
              </w:rPr>
              <w:t>5</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未提高</w:t>
            </w:r>
            <w:r>
              <w:rPr>
                <w:rFonts w:hint="eastAsia" w:ascii="方正书宋简体" w:hAnsi="黑体" w:eastAsia="方正书宋简体" w:cs="宋体"/>
                <w:color w:val="000000"/>
                <w:kern w:val="0"/>
                <w:szCs w:val="21"/>
                <w:highlight w:val="none"/>
              </w:rPr>
              <w:t>得</w:t>
            </w:r>
            <w:r>
              <w:rPr>
                <w:rFonts w:hint="eastAsia" w:ascii="方正书宋简体" w:hAnsi="黑体" w:eastAsia="方正书宋简体" w:cs="宋体"/>
                <w:color w:val="000000"/>
                <w:kern w:val="0"/>
                <w:szCs w:val="21"/>
                <w:highlight w:val="none"/>
                <w:lang w:val="en-US" w:eastAsia="zh-CN"/>
              </w:rPr>
              <w:t>0</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45"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48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可持续效益</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lang w:val="en-US" w:eastAsia="zh-CN"/>
              </w:rPr>
              <w:t>10</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社会保险业务长期发展，保持我处服务意识，提高我处工作效率</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val="en-US" w:eastAsia="zh-CN"/>
              </w:rPr>
              <w:t>（10分）</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10</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rPr>
              <w:t>社会保险业务</w:t>
            </w:r>
            <w:r>
              <w:rPr>
                <w:rFonts w:hint="eastAsia" w:ascii="宋体" w:hAnsi="宋体" w:eastAsia="宋体" w:cs="宋体"/>
                <w:kern w:val="0"/>
                <w:sz w:val="22"/>
                <w:szCs w:val="22"/>
                <w:highlight w:val="none"/>
                <w:lang w:val="en-US" w:eastAsia="zh-CN"/>
              </w:rPr>
              <w:t>工作效率</w:t>
            </w:r>
            <w:r>
              <w:rPr>
                <w:rFonts w:hint="eastAsia" w:ascii="宋体" w:hAnsi="宋体" w:cs="宋体"/>
                <w:kern w:val="0"/>
                <w:sz w:val="22"/>
                <w:szCs w:val="22"/>
                <w:highlight w:val="none"/>
                <w:lang w:val="en-US" w:eastAsia="zh-CN"/>
              </w:rPr>
              <w:t>显著提高</w:t>
            </w:r>
            <w:r>
              <w:rPr>
                <w:rFonts w:hint="eastAsia" w:ascii="宋体" w:hAnsi="宋体" w:eastAsia="宋体" w:cs="宋体"/>
                <w:kern w:val="0"/>
                <w:sz w:val="22"/>
                <w:szCs w:val="22"/>
                <w:highlight w:val="none"/>
                <w:lang w:val="en-US" w:eastAsia="zh-CN"/>
              </w:rPr>
              <w:t>得</w:t>
            </w:r>
            <w:r>
              <w:rPr>
                <w:rFonts w:hint="eastAsia" w:ascii="宋体" w:hAnsi="宋体" w:cs="宋体"/>
                <w:kern w:val="0"/>
                <w:sz w:val="22"/>
                <w:szCs w:val="22"/>
                <w:highlight w:val="none"/>
                <w:lang w:val="en-US" w:eastAsia="zh-CN"/>
              </w:rPr>
              <w:t>10</w:t>
            </w:r>
            <w:r>
              <w:rPr>
                <w:rFonts w:hint="eastAsia" w:ascii="宋体" w:hAnsi="宋体" w:eastAsia="宋体" w:cs="宋体"/>
                <w:kern w:val="0"/>
                <w:sz w:val="22"/>
                <w:szCs w:val="22"/>
                <w:highlight w:val="none"/>
                <w:lang w:val="en-US" w:eastAsia="zh-CN"/>
              </w:rPr>
              <w:t>分</w:t>
            </w:r>
            <w:r>
              <w:rPr>
                <w:rFonts w:hint="eastAsia" w:ascii="宋体" w:hAnsi="宋体" w:cs="宋体"/>
                <w:kern w:val="0"/>
                <w:sz w:val="22"/>
                <w:szCs w:val="22"/>
                <w:highlight w:val="none"/>
                <w:lang w:val="en-US" w:eastAsia="zh-CN"/>
              </w:rPr>
              <w:t>，</w:t>
            </w:r>
            <w:r>
              <w:rPr>
                <w:rFonts w:hint="eastAsia" w:ascii="方正书宋简体" w:hAnsi="黑体" w:eastAsia="方正书宋简体" w:cs="宋体"/>
                <w:color w:val="000000"/>
                <w:kern w:val="0"/>
                <w:szCs w:val="21"/>
                <w:highlight w:val="none"/>
                <w:lang w:val="en-US" w:eastAsia="zh-CN"/>
              </w:rPr>
              <w:t>较为显著</w:t>
            </w:r>
            <w:r>
              <w:rPr>
                <w:rFonts w:hint="eastAsia" w:ascii="方正书宋简体" w:hAnsi="黑体" w:eastAsia="方正书宋简体" w:cs="宋体"/>
                <w:color w:val="000000"/>
                <w:kern w:val="0"/>
                <w:szCs w:val="21"/>
                <w:highlight w:val="none"/>
              </w:rPr>
              <w:t>得</w:t>
            </w:r>
            <w:r>
              <w:rPr>
                <w:rFonts w:hint="eastAsia" w:ascii="方正书宋简体" w:hAnsi="黑体" w:eastAsia="方正书宋简体" w:cs="宋体"/>
                <w:color w:val="000000"/>
                <w:kern w:val="0"/>
                <w:szCs w:val="21"/>
                <w:highlight w:val="none"/>
                <w:lang w:val="en-US" w:eastAsia="zh-CN"/>
              </w:rPr>
              <w:t>5</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未提高</w:t>
            </w:r>
            <w:r>
              <w:rPr>
                <w:rFonts w:hint="eastAsia" w:ascii="方正书宋简体" w:hAnsi="黑体" w:eastAsia="方正书宋简体" w:cs="宋体"/>
                <w:color w:val="000000"/>
                <w:kern w:val="0"/>
                <w:szCs w:val="21"/>
                <w:highlight w:val="none"/>
              </w:rPr>
              <w:t>得</w:t>
            </w:r>
            <w:r>
              <w:rPr>
                <w:rFonts w:hint="eastAsia" w:ascii="方正书宋简体" w:hAnsi="黑体" w:eastAsia="方正书宋简体" w:cs="宋体"/>
                <w:color w:val="000000"/>
                <w:kern w:val="0"/>
                <w:szCs w:val="21"/>
                <w:highlight w:val="none"/>
                <w:lang w:val="en-US" w:eastAsia="zh-CN"/>
              </w:rPr>
              <w:t>0</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45"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满意度</w:t>
            </w:r>
          </w:p>
          <w:p>
            <w:pPr>
              <w:widowControl/>
              <w:spacing w:line="240" w:lineRule="exact"/>
              <w:jc w:val="center"/>
              <w:rPr>
                <w:rFonts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w:t>
            </w:r>
            <w:r>
              <w:rPr>
                <w:rFonts w:hint="eastAsia" w:ascii="方正书宋简体" w:hAnsi="黑体" w:eastAsia="方正书宋简体" w:cs="宋体"/>
                <w:color w:val="000000"/>
                <w:kern w:val="0"/>
                <w:szCs w:val="21"/>
                <w:highlight w:val="none"/>
                <w:lang w:val="en-US" w:eastAsia="zh-CN"/>
              </w:rPr>
              <w:t>10</w:t>
            </w:r>
            <w:r>
              <w:rPr>
                <w:rFonts w:hint="eastAsia" w:ascii="方正书宋简体" w:hAnsi="黑体" w:eastAsia="方正书宋简体" w:cs="宋体"/>
                <w:color w:val="000000"/>
                <w:kern w:val="0"/>
                <w:szCs w:val="21"/>
                <w:highlight w:val="none"/>
              </w:rPr>
              <w:t>分）</w:t>
            </w:r>
          </w:p>
        </w:tc>
        <w:tc>
          <w:tcPr>
            <w:tcW w:w="1488"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rPr>
              <w:t>社会公众或服务对象满意度</w:t>
            </w: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10分）</w:t>
            </w:r>
          </w:p>
        </w:tc>
        <w:tc>
          <w:tcPr>
            <w:tcW w:w="917"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rPr>
              <w:t>群众满意率</w:t>
            </w:r>
            <w:r>
              <w:rPr>
                <w:rFonts w:hint="eastAsia" w:ascii="方正书宋简体" w:hAnsi="黑体" w:eastAsia="方正书宋简体" w:cs="宋体"/>
                <w:color w:val="000000"/>
                <w:kern w:val="0"/>
                <w:szCs w:val="21"/>
                <w:highlight w:val="none"/>
                <w:lang w:val="en-US" w:eastAsia="zh-CN"/>
              </w:rPr>
              <w:t>95%</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（10分）</w:t>
            </w:r>
          </w:p>
        </w:tc>
        <w:tc>
          <w:tcPr>
            <w:tcW w:w="6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10</w:t>
            </w:r>
          </w:p>
        </w:tc>
        <w:tc>
          <w:tcPr>
            <w:tcW w:w="108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对</w:t>
            </w:r>
            <w:r>
              <w:rPr>
                <w:rFonts w:hint="eastAsia" w:ascii="方正书宋简体" w:hAnsi="黑体" w:eastAsia="方正书宋简体" w:cs="宋体"/>
                <w:color w:val="000000"/>
                <w:kern w:val="0"/>
                <w:szCs w:val="21"/>
                <w:highlight w:val="none"/>
                <w:lang w:val="en-US" w:eastAsia="zh-CN"/>
              </w:rPr>
              <w:t>群众</w:t>
            </w:r>
            <w:r>
              <w:rPr>
                <w:rFonts w:hint="eastAsia" w:ascii="方正书宋简体" w:hAnsi="黑体" w:eastAsia="方正书宋简体" w:cs="宋体"/>
                <w:color w:val="000000"/>
                <w:kern w:val="0"/>
                <w:szCs w:val="21"/>
                <w:highlight w:val="none"/>
              </w:rPr>
              <w:t>满意度调查， 95%-100%得</w:t>
            </w:r>
            <w:r>
              <w:rPr>
                <w:rFonts w:hint="eastAsia" w:ascii="方正书宋简体" w:hAnsi="黑体" w:eastAsia="方正书宋简体" w:cs="宋体"/>
                <w:color w:val="000000"/>
                <w:kern w:val="0"/>
                <w:szCs w:val="21"/>
                <w:highlight w:val="none"/>
                <w:lang w:val="en-US" w:eastAsia="zh-CN"/>
              </w:rPr>
              <w:t>10</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80%-94%得</w:t>
            </w:r>
            <w:r>
              <w:rPr>
                <w:rFonts w:hint="eastAsia" w:ascii="方正书宋简体" w:hAnsi="黑体" w:eastAsia="方正书宋简体" w:cs="宋体"/>
                <w:color w:val="000000"/>
                <w:kern w:val="0"/>
                <w:szCs w:val="21"/>
                <w:highlight w:val="none"/>
                <w:lang w:val="en-US" w:eastAsia="zh-CN"/>
              </w:rPr>
              <w:t>5</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60%-79%得</w:t>
            </w:r>
            <w:r>
              <w:rPr>
                <w:rFonts w:hint="eastAsia" w:ascii="方正书宋简体" w:hAnsi="黑体" w:eastAsia="方正书宋简体" w:cs="宋体"/>
                <w:color w:val="000000"/>
                <w:kern w:val="0"/>
                <w:szCs w:val="21"/>
                <w:highlight w:val="none"/>
                <w:lang w:val="en-US" w:eastAsia="zh-CN"/>
              </w:rPr>
              <w:t>1</w:t>
            </w:r>
            <w:r>
              <w:rPr>
                <w:rFonts w:hint="eastAsia" w:ascii="方正书宋简体" w:hAnsi="黑体" w:eastAsia="方正书宋简体" w:cs="宋体"/>
                <w:color w:val="000000"/>
                <w:kern w:val="0"/>
                <w:szCs w:val="21"/>
                <w:highlight w:val="none"/>
              </w:rPr>
              <w:t>分；</w:t>
            </w:r>
            <w:r>
              <w:rPr>
                <w:rFonts w:hint="eastAsia" w:ascii="方正书宋简体" w:hAnsi="黑体" w:eastAsia="方正书宋简体" w:cs="宋体"/>
                <w:color w:val="000000"/>
                <w:kern w:val="0"/>
                <w:szCs w:val="21"/>
                <w:highlight w:val="none"/>
                <w:lang w:val="en-US" w:eastAsia="zh-CN"/>
              </w:rPr>
              <w:t>达到</w:t>
            </w:r>
            <w:r>
              <w:rPr>
                <w:rFonts w:hint="eastAsia" w:ascii="方正书宋简体" w:hAnsi="黑体" w:eastAsia="方正书宋简体" w:cs="宋体"/>
                <w:color w:val="000000"/>
                <w:kern w:val="0"/>
                <w:szCs w:val="21"/>
                <w:highlight w:val="none"/>
              </w:rPr>
              <w:t>60%以下，不得分</w:t>
            </w: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rPr>
              <w:t>经调查，满意度为</w:t>
            </w:r>
            <w:r>
              <w:rPr>
                <w:rFonts w:hint="eastAsia" w:ascii="方正书宋简体" w:hAnsi="黑体" w:eastAsia="方正书宋简体" w:cs="宋体"/>
                <w:color w:val="000000"/>
                <w:kern w:val="0"/>
                <w:szCs w:val="21"/>
                <w:highlight w:val="none"/>
                <w:lang w:val="en-US" w:eastAsia="zh-CN"/>
              </w:rPr>
              <w:t>80</w:t>
            </w:r>
            <w:r>
              <w:rPr>
                <w:rFonts w:hint="eastAsia" w:ascii="方正书宋简体" w:hAnsi="黑体" w:eastAsia="方正书宋简体" w:cs="宋体"/>
                <w:color w:val="000000"/>
                <w:kern w:val="0"/>
                <w:szCs w:val="21"/>
                <w:highlight w:val="none"/>
              </w:rPr>
              <w:t>%</w:t>
            </w:r>
            <w:r>
              <w:rPr>
                <w:rFonts w:hint="eastAsia" w:ascii="方正书宋简体" w:hAnsi="黑体" w:eastAsia="方正书宋简体" w:cs="宋体"/>
                <w:color w:val="000000"/>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3250" w:type="pct"/>
            <w:gridSpan w:val="3"/>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总分</w:t>
            </w:r>
          </w:p>
        </w:tc>
        <w:tc>
          <w:tcPr>
            <w:tcW w:w="1749" w:type="pct"/>
            <w:gridSpan w:val="2"/>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100</w:t>
            </w:r>
          </w:p>
        </w:tc>
      </w:tr>
    </w:tbl>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 w:hAnsi="仿宋" w:eastAsia="仿宋"/>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600" w:lineRule="exact"/>
        <w:ind w:left="0" w:firstLine="560" w:firstLineChars="200"/>
        <w:textAlignment w:val="auto"/>
        <w:rPr>
          <w:rFonts w:hint="eastAsia" w:ascii="黑体" w:eastAsia="黑体"/>
          <w:sz w:val="28"/>
          <w:szCs w:val="28"/>
          <w:highlight w:val="none"/>
        </w:rPr>
      </w:pPr>
      <w:r>
        <w:rPr>
          <w:rFonts w:hint="eastAsia" w:ascii="黑体" w:eastAsia="黑体"/>
          <w:sz w:val="28"/>
          <w:szCs w:val="28"/>
          <w:highlight w:val="none"/>
        </w:rPr>
        <w:t>3、评价方法</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根据评价对象的具体情况，可采用一种或多种方法</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（一）成本效益分析法。是指将投入与产出、效益进行关联性分析的方法。 </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（二）比较法。是指将实施情况与绩效目标、历史情况、不同部门和地区同类支出情况进行比较的方法。</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（三）因素分析法。是指综合分析影响绩效目标实现、实施效果的内外部因素的方法。</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（四）最低成本法。是指在绩效目标确定的前提下，成本最小者为优的方法。</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（五）公众评判法。是指通过专家评估、公众问卷及抽样调查等方式进行评判的方法。</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（六）标杆管理法。是指以国内外同行业中较高的绩效水平为标杆进行评判的方法。</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 w:hAnsi="仿宋" w:eastAsia="仿宋" w:cs="仿宋_GB2312"/>
          <w:sz w:val="32"/>
          <w:szCs w:val="32"/>
          <w:highlight w:val="none"/>
        </w:rPr>
      </w:pPr>
      <w:r>
        <w:rPr>
          <w:rFonts w:hint="eastAsia" w:ascii="仿宋_GB2312" w:hAnsi="仿宋_GB2312" w:eastAsia="仿宋_GB2312" w:cs="仿宋_GB2312"/>
          <w:sz w:val="32"/>
          <w:szCs w:val="32"/>
          <w:highlight w:val="none"/>
        </w:rPr>
        <w:t>（七）其他评价方法。</w:t>
      </w:r>
    </w:p>
    <w:p>
      <w:pPr>
        <w:keepNext w:val="0"/>
        <w:keepLines w:val="0"/>
        <w:pageBreakBefore w:val="0"/>
        <w:widowControl w:val="0"/>
        <w:kinsoku/>
        <w:wordWrap/>
        <w:overflowPunct/>
        <w:topLinePunct w:val="0"/>
        <w:autoSpaceDE/>
        <w:autoSpaceDN/>
        <w:bidi w:val="0"/>
        <w:adjustRightInd/>
        <w:snapToGrid w:val="0"/>
        <w:spacing w:line="600" w:lineRule="exact"/>
        <w:ind w:left="0" w:firstLine="560" w:firstLineChars="200"/>
        <w:textAlignment w:val="auto"/>
        <w:rPr>
          <w:rFonts w:hint="eastAsia" w:ascii="黑体" w:eastAsia="黑体"/>
          <w:sz w:val="28"/>
          <w:szCs w:val="28"/>
          <w:highlight w:val="none"/>
        </w:rPr>
      </w:pPr>
      <w:r>
        <w:rPr>
          <w:rFonts w:hint="eastAsia" w:ascii="黑体" w:eastAsia="黑体"/>
          <w:sz w:val="28"/>
          <w:szCs w:val="28"/>
          <w:highlight w:val="none"/>
        </w:rPr>
        <w:t>4、评价标准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绩效评价标准通常包括计划标准、行业标准、历史标准等，用于对绩效指标完成情况进行比较。</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（一）计划标准。指以预先制定的目标、计划、预算、定额等作为评价标准。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（二）行业标准。指参照国家公布的行业指标数据制定的评价标准。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（三）历史标准。指参照历史数据制定的评价标准，为体现绩效改进的原则，在可实现的条件下应当确定相对较高的评价标准。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ascii="仿宋" w:hAnsi="仿宋" w:eastAsia="仿宋" w:cs="仿宋_GB2312"/>
          <w:sz w:val="32"/>
          <w:szCs w:val="32"/>
          <w:highlight w:val="none"/>
        </w:rPr>
      </w:pPr>
      <w:r>
        <w:rPr>
          <w:rFonts w:hint="eastAsia" w:ascii="仿宋_GB2312" w:hAnsi="仿宋_GB2312" w:eastAsia="仿宋_GB2312" w:cs="仿宋_GB2312"/>
          <w:sz w:val="32"/>
          <w:szCs w:val="32"/>
          <w:highlight w:val="none"/>
        </w:rPr>
        <w:t>（四）财政部门和预算部门确认或认可的其他标准。</w:t>
      </w:r>
    </w:p>
    <w:p>
      <w:pPr>
        <w:keepNext w:val="0"/>
        <w:keepLines w:val="0"/>
        <w:pageBreakBefore w:val="0"/>
        <w:widowControl w:val="0"/>
        <w:kinsoku/>
        <w:wordWrap/>
        <w:overflowPunct/>
        <w:topLinePunct w:val="0"/>
        <w:autoSpaceDE/>
        <w:autoSpaceDN/>
        <w:bidi w:val="0"/>
        <w:adjustRightInd/>
        <w:spacing w:line="600" w:lineRule="exact"/>
        <w:ind w:left="0" w:firstLine="562" w:firstLineChars="200"/>
        <w:textAlignment w:val="auto"/>
        <w:outlineLvl w:val="0"/>
        <w:rPr>
          <w:rFonts w:hint="eastAsia" w:ascii="楷体_GB2312" w:hAnsi="Calibri" w:eastAsia="楷体_GB2312" w:cs="Times New Roman"/>
          <w:b/>
          <w:color w:val="000000"/>
          <w:sz w:val="28"/>
          <w:szCs w:val="28"/>
          <w:highlight w:val="none"/>
        </w:rPr>
      </w:pPr>
      <w:r>
        <w:rPr>
          <w:rFonts w:hint="eastAsia" w:ascii="楷体_GB2312" w:hAnsi="Calibri" w:eastAsia="楷体_GB2312" w:cs="Times New Roman"/>
          <w:b/>
          <w:color w:val="000000"/>
          <w:sz w:val="28"/>
          <w:szCs w:val="28"/>
          <w:highlight w:val="none"/>
        </w:rPr>
        <w:t>（三）绩效评价工作过程</w:t>
      </w:r>
    </w:p>
    <w:p>
      <w:pPr>
        <w:keepNext w:val="0"/>
        <w:keepLines w:val="0"/>
        <w:pageBreakBefore w:val="0"/>
        <w:widowControl w:val="0"/>
        <w:kinsoku/>
        <w:wordWrap/>
        <w:overflowPunct/>
        <w:topLinePunct w:val="0"/>
        <w:autoSpaceDE/>
        <w:autoSpaceDN/>
        <w:bidi w:val="0"/>
        <w:adjustRightInd/>
        <w:spacing w:line="600" w:lineRule="exact"/>
        <w:ind w:left="0" w:firstLine="640" w:firstLineChars="200"/>
        <w:textAlignment w:val="auto"/>
        <w:rPr>
          <w:rFonts w:hint="eastAsia" w:ascii="仿宋" w:hAnsi="仿宋" w:eastAsia="仿宋"/>
          <w:sz w:val="32"/>
          <w:szCs w:val="32"/>
          <w:highlight w:val="none"/>
        </w:rPr>
      </w:pPr>
      <w:r>
        <w:rPr>
          <w:rFonts w:hint="eastAsia" w:ascii="仿宋_GB2312" w:hAnsi="仿宋_GB2312" w:eastAsia="仿宋_GB2312" w:cs="仿宋_GB2312"/>
          <w:sz w:val="32"/>
          <w:szCs w:val="32"/>
          <w:highlight w:val="none"/>
        </w:rPr>
        <w:t>本项目绩效评价工作的过程，</w:t>
      </w:r>
      <w:r>
        <w:rPr>
          <w:rFonts w:hint="eastAsia" w:ascii="仿宋_GB2312" w:hAnsi="仿宋_GB2312" w:eastAsia="仿宋_GB2312" w:cs="仿宋_GB2312"/>
          <w:sz w:val="32"/>
          <w:szCs w:val="32"/>
          <w:highlight w:val="none"/>
          <w:lang w:eastAsia="zh-CN"/>
        </w:rPr>
        <w:t>南昌市医疗保险事业管理处</w:t>
      </w:r>
      <w:r>
        <w:rPr>
          <w:rFonts w:hint="eastAsia" w:ascii="仿宋_GB2312" w:hAnsi="仿宋_GB2312" w:eastAsia="仿宋_GB2312" w:cs="仿宋_GB2312"/>
          <w:sz w:val="32"/>
          <w:szCs w:val="32"/>
          <w:highlight w:val="none"/>
        </w:rPr>
        <w:t>一是加强组织领导，成立了以主要领导为组长的工作领导小组，制定了绩效评价工作方案，明确了工作要求及工作步骤；二是客观评价，按照要求合理设置评价指标，对照绩效指标，开展实际与计划的对比分析，实事求是地评价完成情况；三是明确责任，建立绩效评价工作责任制，将绩效评价工作责任明确到部门和相关责任人。</w:t>
      </w:r>
    </w:p>
    <w:p>
      <w:pPr>
        <w:keepNext w:val="0"/>
        <w:keepLines w:val="0"/>
        <w:pageBreakBefore w:val="0"/>
        <w:widowControl w:val="0"/>
        <w:kinsoku/>
        <w:wordWrap/>
        <w:overflowPunct/>
        <w:topLinePunct w:val="0"/>
        <w:autoSpaceDE/>
        <w:autoSpaceDN/>
        <w:bidi w:val="0"/>
        <w:adjustRightInd/>
        <w:spacing w:line="600" w:lineRule="exact"/>
        <w:ind w:left="0" w:firstLine="576" w:firstLineChars="200"/>
        <w:textAlignment w:val="auto"/>
        <w:rPr>
          <w:rFonts w:hint="eastAsia" w:ascii="黑体" w:eastAsia="黑体"/>
          <w:color w:val="000000"/>
          <w:spacing w:val="4"/>
          <w:sz w:val="28"/>
          <w:szCs w:val="28"/>
          <w:highlight w:val="none"/>
        </w:rPr>
      </w:pPr>
      <w:r>
        <w:rPr>
          <w:rFonts w:hint="eastAsia" w:ascii="黑体" w:hAnsi="黑体" w:eastAsia="黑体"/>
          <w:color w:val="000000"/>
          <w:spacing w:val="4"/>
          <w:sz w:val="28"/>
          <w:szCs w:val="28"/>
          <w:highlight w:val="none"/>
        </w:rPr>
        <w:t>三、综合评价情况及评价结论</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2020年</w:t>
      </w:r>
      <w:r>
        <w:rPr>
          <w:rFonts w:hint="eastAsia" w:ascii="仿宋_GB2312" w:hAnsi="仿宋_GB2312" w:eastAsia="仿宋_GB2312" w:cs="仿宋_GB2312"/>
          <w:sz w:val="32"/>
          <w:szCs w:val="32"/>
          <w:highlight w:val="none"/>
          <w:lang w:eastAsia="zh-CN"/>
        </w:rPr>
        <w:t>南昌市医疗保险事业管理处</w:t>
      </w:r>
      <w:r>
        <w:rPr>
          <w:rFonts w:hint="eastAsia" w:ascii="仿宋_GB2312" w:hAnsi="仿宋_GB2312" w:eastAsia="仿宋_GB2312" w:cs="仿宋_GB2312"/>
          <w:sz w:val="32"/>
          <w:szCs w:val="32"/>
          <w:highlight w:val="none"/>
        </w:rPr>
        <w:t>较好地完成了各项工作，充分发挥医疗保险业务及办公经费补助</w:t>
      </w:r>
      <w:r>
        <w:rPr>
          <w:rFonts w:hint="eastAsia" w:ascii="仿宋_GB2312" w:hAnsi="仿宋_GB2312" w:eastAsia="仿宋_GB2312" w:cs="仿宋_GB2312"/>
          <w:sz w:val="32"/>
          <w:szCs w:val="32"/>
          <w:highlight w:val="none"/>
          <w:lang w:val="en-US" w:eastAsia="zh-CN"/>
        </w:rPr>
        <w:t>项目</w:t>
      </w:r>
      <w:r>
        <w:rPr>
          <w:rFonts w:hint="eastAsia" w:ascii="仿宋_GB2312" w:hAnsi="仿宋_GB2312" w:eastAsia="仿宋_GB2312" w:cs="仿宋_GB2312"/>
          <w:sz w:val="32"/>
          <w:szCs w:val="32"/>
          <w:highlight w:val="none"/>
        </w:rPr>
        <w:t>在社会体系中重要补充作用。</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根据部门整体支出绩效评价指标体系评分表，经认真逐条</w:t>
      </w:r>
      <w:r>
        <w:rPr>
          <w:rFonts w:hint="eastAsia" w:ascii="仿宋_GB2312" w:hAnsi="仿宋_GB2312" w:eastAsia="仿宋_GB2312" w:cs="仿宋_GB2312"/>
          <w:sz w:val="32"/>
          <w:szCs w:val="32"/>
          <w:highlight w:val="none"/>
          <w:lang w:eastAsia="zh-CN"/>
        </w:rPr>
        <w:t>评价</w:t>
      </w:r>
      <w:r>
        <w:rPr>
          <w:rFonts w:hint="eastAsia" w:ascii="仿宋_GB2312" w:hAnsi="仿宋_GB2312" w:eastAsia="仿宋_GB2312" w:cs="仿宋_GB2312"/>
          <w:sz w:val="32"/>
          <w:szCs w:val="32"/>
          <w:highlight w:val="none"/>
        </w:rPr>
        <w:t>，2020年</w:t>
      </w:r>
      <w:r>
        <w:rPr>
          <w:rFonts w:hint="eastAsia" w:ascii="仿宋_GB2312" w:hAnsi="仿宋_GB2312" w:eastAsia="仿宋_GB2312" w:cs="仿宋_GB2312"/>
          <w:sz w:val="32"/>
          <w:szCs w:val="32"/>
          <w:highlight w:val="none"/>
          <w:lang w:eastAsia="zh-CN"/>
        </w:rPr>
        <w:t>南昌市医疗保险事业管理处</w:t>
      </w:r>
      <w:r>
        <w:rPr>
          <w:rFonts w:hint="eastAsia" w:ascii="仿宋_GB2312" w:hAnsi="仿宋_GB2312" w:eastAsia="仿宋_GB2312" w:cs="仿宋_GB2312"/>
          <w:sz w:val="32"/>
          <w:szCs w:val="32"/>
          <w:highlight w:val="none"/>
        </w:rPr>
        <w:t>财政项目支出绩效</w:t>
      </w:r>
      <w:r>
        <w:rPr>
          <w:rFonts w:hint="eastAsia" w:ascii="仿宋_GB2312" w:hAnsi="仿宋_GB2312" w:eastAsia="仿宋_GB2312" w:cs="仿宋_GB2312"/>
          <w:sz w:val="32"/>
          <w:szCs w:val="32"/>
          <w:highlight w:val="none"/>
          <w:lang w:eastAsia="zh-CN"/>
        </w:rPr>
        <w:t>评价</w:t>
      </w:r>
      <w:r>
        <w:rPr>
          <w:rFonts w:hint="eastAsia" w:ascii="仿宋_GB2312" w:hAnsi="仿宋_GB2312" w:eastAsia="仿宋_GB2312" w:cs="仿宋_GB2312"/>
          <w:sz w:val="32"/>
          <w:szCs w:val="32"/>
          <w:highlight w:val="none"/>
        </w:rPr>
        <w:t>得分</w:t>
      </w:r>
      <w:r>
        <w:rPr>
          <w:rFonts w:hint="eastAsia" w:ascii="仿宋_GB2312" w:hAnsi="仿宋_GB2312" w:eastAsia="仿宋_GB2312" w:cs="仿宋_GB2312"/>
          <w:sz w:val="32"/>
          <w:szCs w:val="32"/>
          <w:highlight w:val="none"/>
          <w:lang w:val="en-US" w:eastAsia="zh-CN"/>
        </w:rPr>
        <w:t>93</w:t>
      </w:r>
      <w:r>
        <w:rPr>
          <w:rFonts w:hint="eastAsia" w:ascii="仿宋_GB2312" w:hAnsi="仿宋_GB2312" w:eastAsia="仿宋_GB2312" w:cs="仿宋_GB2312"/>
          <w:sz w:val="32"/>
          <w:szCs w:val="32"/>
          <w:highlight w:val="none"/>
        </w:rPr>
        <w:t>分，档次“优秀”。</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 w:hAnsi="仿宋" w:eastAsia="仿宋"/>
          <w:sz w:val="32"/>
          <w:szCs w:val="32"/>
          <w:highlight w:val="none"/>
        </w:rPr>
      </w:pPr>
      <w:r>
        <w:rPr>
          <w:rFonts w:hint="eastAsia" w:ascii="仿宋_GB2312" w:hAnsi="仿宋_GB2312" w:eastAsia="仿宋_GB2312" w:cs="仿宋_GB2312"/>
          <w:sz w:val="32"/>
          <w:szCs w:val="32"/>
          <w:highlight w:val="none"/>
        </w:rPr>
        <w:t>评分详情见下表：</w:t>
      </w:r>
    </w:p>
    <w:tbl>
      <w:tblPr>
        <w:tblStyle w:val="7"/>
        <w:tblW w:w="48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243"/>
        <w:gridCol w:w="2208"/>
        <w:gridCol w:w="3133"/>
        <w:gridCol w:w="752"/>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9" w:hRule="atLeast"/>
          <w:tblHeader/>
          <w:jc w:val="center"/>
        </w:trPr>
        <w:tc>
          <w:tcPr>
            <w:tcW w:w="759" w:type="pct"/>
            <w:shd w:val="clear" w:color="auto" w:fill="auto"/>
            <w:vAlign w:val="center"/>
          </w:tcPr>
          <w:p>
            <w:pPr>
              <w:widowControl/>
              <w:jc w:val="center"/>
              <w:rPr>
                <w:rFonts w:hint="eastAsia" w:ascii="黑体" w:hAnsi="黑体" w:eastAsia="黑体" w:cs="宋体"/>
                <w:bCs/>
                <w:color w:val="000000"/>
                <w:kern w:val="0"/>
                <w:szCs w:val="21"/>
                <w:highlight w:val="none"/>
              </w:rPr>
            </w:pPr>
            <w:r>
              <w:rPr>
                <w:rFonts w:hint="eastAsia" w:ascii="黑体" w:hAnsi="黑体" w:eastAsia="黑体" w:cs="宋体"/>
                <w:bCs/>
                <w:color w:val="000000"/>
                <w:kern w:val="0"/>
                <w:szCs w:val="21"/>
                <w:highlight w:val="none"/>
              </w:rPr>
              <w:t>一级</w:t>
            </w:r>
          </w:p>
          <w:p>
            <w:pPr>
              <w:widowControl/>
              <w:jc w:val="center"/>
              <w:rPr>
                <w:rFonts w:ascii="黑体" w:hAnsi="黑体" w:eastAsia="黑体" w:cs="宋体"/>
                <w:bCs/>
                <w:color w:val="000000"/>
                <w:kern w:val="0"/>
                <w:szCs w:val="21"/>
                <w:highlight w:val="none"/>
              </w:rPr>
            </w:pPr>
            <w:r>
              <w:rPr>
                <w:rFonts w:hint="eastAsia" w:ascii="黑体" w:hAnsi="黑体" w:eastAsia="黑体" w:cs="宋体"/>
                <w:bCs/>
                <w:color w:val="000000"/>
                <w:kern w:val="0"/>
                <w:szCs w:val="21"/>
                <w:highlight w:val="none"/>
              </w:rPr>
              <w:t>指标</w:t>
            </w:r>
          </w:p>
        </w:tc>
        <w:tc>
          <w:tcPr>
            <w:tcW w:w="1348" w:type="pct"/>
            <w:shd w:val="clear" w:color="auto" w:fill="auto"/>
            <w:vAlign w:val="center"/>
          </w:tcPr>
          <w:p>
            <w:pPr>
              <w:widowControl/>
              <w:jc w:val="center"/>
              <w:rPr>
                <w:rFonts w:ascii="黑体" w:hAnsi="黑体" w:eastAsia="黑体" w:cs="宋体"/>
                <w:bCs/>
                <w:color w:val="000000"/>
                <w:kern w:val="0"/>
                <w:szCs w:val="21"/>
                <w:highlight w:val="none"/>
              </w:rPr>
            </w:pPr>
            <w:r>
              <w:rPr>
                <w:rFonts w:hint="eastAsia" w:ascii="黑体" w:hAnsi="黑体" w:eastAsia="黑体" w:cs="宋体"/>
                <w:bCs/>
                <w:color w:val="000000"/>
                <w:kern w:val="0"/>
                <w:szCs w:val="21"/>
                <w:highlight w:val="none"/>
              </w:rPr>
              <w:t>二级指标</w:t>
            </w:r>
          </w:p>
        </w:tc>
        <w:tc>
          <w:tcPr>
            <w:tcW w:w="1912" w:type="pct"/>
            <w:shd w:val="clear" w:color="auto" w:fill="auto"/>
            <w:vAlign w:val="center"/>
          </w:tcPr>
          <w:p>
            <w:pPr>
              <w:widowControl/>
              <w:jc w:val="center"/>
              <w:rPr>
                <w:rFonts w:ascii="黑体" w:hAnsi="黑体" w:eastAsia="黑体" w:cs="宋体"/>
                <w:bCs/>
                <w:color w:val="000000"/>
                <w:kern w:val="0"/>
                <w:szCs w:val="21"/>
                <w:highlight w:val="none"/>
              </w:rPr>
            </w:pPr>
            <w:r>
              <w:rPr>
                <w:rFonts w:hint="eastAsia" w:ascii="黑体" w:hAnsi="黑体" w:eastAsia="黑体" w:cs="宋体"/>
                <w:bCs/>
                <w:color w:val="000000"/>
                <w:kern w:val="0"/>
                <w:szCs w:val="21"/>
                <w:highlight w:val="none"/>
              </w:rPr>
              <w:t>三级指标</w:t>
            </w:r>
          </w:p>
        </w:tc>
        <w:tc>
          <w:tcPr>
            <w:tcW w:w="459" w:type="pct"/>
            <w:shd w:val="clear" w:color="auto" w:fill="auto"/>
            <w:vAlign w:val="center"/>
          </w:tcPr>
          <w:p>
            <w:pPr>
              <w:widowControl/>
              <w:jc w:val="center"/>
              <w:rPr>
                <w:rFonts w:hint="eastAsia" w:ascii="黑体" w:hAnsi="黑体" w:eastAsia="黑体" w:cs="宋体"/>
                <w:bCs/>
                <w:color w:val="000000"/>
                <w:kern w:val="0"/>
                <w:szCs w:val="21"/>
                <w:highlight w:val="none"/>
              </w:rPr>
            </w:pPr>
            <w:r>
              <w:rPr>
                <w:rFonts w:hint="eastAsia" w:ascii="黑体" w:hAnsi="黑体" w:eastAsia="黑体" w:cs="宋体"/>
                <w:bCs/>
                <w:color w:val="000000"/>
                <w:kern w:val="0"/>
                <w:szCs w:val="21"/>
                <w:highlight w:val="none"/>
              </w:rPr>
              <w:t>分值权重</w:t>
            </w:r>
          </w:p>
        </w:tc>
        <w:tc>
          <w:tcPr>
            <w:tcW w:w="520" w:type="pct"/>
            <w:shd w:val="clear" w:color="auto" w:fill="auto"/>
            <w:vAlign w:val="center"/>
          </w:tcPr>
          <w:p>
            <w:pPr>
              <w:widowControl/>
              <w:jc w:val="center"/>
              <w:rPr>
                <w:rFonts w:hint="eastAsia" w:ascii="黑体" w:hAnsi="黑体" w:eastAsia="黑体" w:cs="宋体"/>
                <w:bCs/>
                <w:color w:val="000000"/>
                <w:kern w:val="0"/>
                <w:szCs w:val="21"/>
                <w:highlight w:val="none"/>
              </w:rPr>
            </w:pPr>
            <w:r>
              <w:rPr>
                <w:rFonts w:hint="eastAsia" w:ascii="黑体" w:hAnsi="黑体" w:eastAsia="黑体" w:cs="宋体"/>
                <w:bCs/>
                <w:color w:val="000000"/>
                <w:kern w:val="0"/>
                <w:szCs w:val="21"/>
                <w:highlight w:val="none"/>
              </w:rPr>
              <w:t>评价</w:t>
            </w:r>
          </w:p>
          <w:p>
            <w:pPr>
              <w:widowControl/>
              <w:jc w:val="center"/>
              <w:rPr>
                <w:rFonts w:hint="eastAsia" w:ascii="黑体" w:hAnsi="黑体" w:eastAsia="黑体" w:cs="宋体"/>
                <w:bCs/>
                <w:color w:val="000000"/>
                <w:kern w:val="0"/>
                <w:szCs w:val="21"/>
                <w:highlight w:val="none"/>
              </w:rPr>
            </w:pPr>
            <w:r>
              <w:rPr>
                <w:rFonts w:hint="eastAsia" w:ascii="黑体" w:hAnsi="黑体" w:eastAsia="黑体" w:cs="宋体"/>
                <w:bCs/>
                <w:color w:val="000000"/>
                <w:kern w:val="0"/>
                <w:szCs w:val="21"/>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9"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决策</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（1</w:t>
            </w:r>
            <w:r>
              <w:rPr>
                <w:rFonts w:hint="eastAsia" w:ascii="方正书宋简体" w:hAnsi="黑体" w:eastAsia="方正书宋简体" w:cs="宋体"/>
                <w:color w:val="000000"/>
                <w:kern w:val="0"/>
                <w:szCs w:val="21"/>
                <w:highlight w:val="none"/>
                <w:lang w:val="en-US" w:eastAsia="zh-CN"/>
              </w:rPr>
              <w:t>5</w:t>
            </w:r>
            <w:r>
              <w:rPr>
                <w:rFonts w:hint="eastAsia" w:ascii="方正书宋简体" w:hAnsi="黑体" w:eastAsia="方正书宋简体" w:cs="宋体"/>
                <w:color w:val="000000"/>
                <w:kern w:val="0"/>
                <w:szCs w:val="21"/>
                <w:highlight w:val="none"/>
              </w:rPr>
              <w:t>分）　</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　</w:t>
            </w:r>
          </w:p>
          <w:p>
            <w:pPr>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　</w:t>
            </w:r>
          </w:p>
        </w:tc>
        <w:tc>
          <w:tcPr>
            <w:tcW w:w="1348" w:type="pct"/>
            <w:vMerge w:val="restart"/>
            <w:shd w:val="clear" w:color="auto" w:fill="auto"/>
            <w:vAlign w:val="center"/>
          </w:tcPr>
          <w:p>
            <w:pPr>
              <w:widowControl/>
              <w:spacing w:line="240" w:lineRule="exact"/>
              <w:jc w:val="center"/>
              <w:rPr>
                <w:rFonts w:hint="eastAsia"/>
                <w:highlight w:val="none"/>
              </w:rPr>
            </w:pPr>
            <w:r>
              <w:rPr>
                <w:rFonts w:hint="eastAsia"/>
                <w:highlight w:val="none"/>
              </w:rPr>
              <w:t>项目立项</w:t>
            </w:r>
          </w:p>
          <w:p>
            <w:pPr>
              <w:widowControl/>
              <w:spacing w:line="240" w:lineRule="exact"/>
              <w:jc w:val="center"/>
              <w:rPr>
                <w:rFonts w:hint="default" w:eastAsia="宋体"/>
                <w:highlight w:val="none"/>
                <w:lang w:val="en-US" w:eastAsia="zh-CN"/>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lang w:val="en-US" w:eastAsia="zh-CN"/>
              </w:rPr>
              <w:t>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立项依据</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充分性</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lang w:val="en-US" w:eastAsia="zh-CN"/>
              </w:rPr>
              <w:t>2.5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2.5</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759"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348"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912" w:type="pct"/>
            <w:shd w:val="clear" w:color="auto" w:fill="auto"/>
            <w:vAlign w:val="center"/>
          </w:tcPr>
          <w:p>
            <w:pPr>
              <w:widowControl/>
              <w:spacing w:line="240" w:lineRule="exact"/>
              <w:jc w:val="center"/>
              <w:rPr>
                <w:rFonts w:hint="eastAsia"/>
                <w:highlight w:val="none"/>
              </w:rPr>
            </w:pPr>
            <w:r>
              <w:rPr>
                <w:rFonts w:hint="eastAsia"/>
                <w:highlight w:val="none"/>
              </w:rPr>
              <w:t>立项程序</w:t>
            </w:r>
          </w:p>
          <w:p>
            <w:pPr>
              <w:widowControl/>
              <w:spacing w:line="240" w:lineRule="exact"/>
              <w:jc w:val="center"/>
              <w:rPr>
                <w:rFonts w:hint="eastAsia"/>
                <w:highlight w:val="none"/>
              </w:rPr>
            </w:pPr>
            <w:r>
              <w:rPr>
                <w:rFonts w:hint="eastAsia"/>
                <w:highlight w:val="none"/>
              </w:rPr>
              <w:t>规范性</w:t>
            </w:r>
          </w:p>
          <w:p>
            <w:pPr>
              <w:widowControl/>
              <w:spacing w:line="240" w:lineRule="exact"/>
              <w:jc w:val="center"/>
              <w:rPr>
                <w:rFonts w:hint="eastAsia"/>
                <w:highlight w:val="none"/>
              </w:rPr>
            </w:pPr>
            <w:r>
              <w:rPr>
                <w:rFonts w:hint="eastAsia"/>
                <w:highlight w:val="none"/>
                <w:lang w:eastAsia="zh-CN"/>
              </w:rPr>
              <w:t>（</w:t>
            </w:r>
            <w:r>
              <w:rPr>
                <w:rFonts w:hint="eastAsia" w:ascii="方正书宋简体" w:hAnsi="黑体" w:eastAsia="方正书宋简体" w:cs="宋体"/>
                <w:color w:val="000000"/>
                <w:kern w:val="0"/>
                <w:szCs w:val="21"/>
                <w:highlight w:val="none"/>
                <w:lang w:val="en-US" w:eastAsia="zh-CN"/>
              </w:rPr>
              <w:t>2.5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2.5</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759"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348"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绩效目标</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5分）</w:t>
            </w:r>
            <w:r>
              <w:rPr>
                <w:rFonts w:hint="eastAsia" w:ascii="方正书宋简体" w:hAnsi="黑体" w:eastAsia="方正书宋简体" w:cs="宋体"/>
                <w:color w:val="000000"/>
                <w:kern w:val="0"/>
                <w:szCs w:val="21"/>
                <w:highlight w:val="none"/>
              </w:rPr>
              <w:t>　</w:t>
            </w: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绩效目标</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合理性</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rPr>
              <w:t>2.5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45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2.5</w:t>
            </w:r>
          </w:p>
        </w:tc>
        <w:tc>
          <w:tcPr>
            <w:tcW w:w="520"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759"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348"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绩效指标</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明确性</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rPr>
              <w:t>2.5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45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2.5</w:t>
            </w:r>
            <w:r>
              <w:rPr>
                <w:rFonts w:hint="eastAsia" w:ascii="方正书宋简体" w:hAnsi="黑体" w:eastAsia="方正书宋简体" w:cs="宋体"/>
                <w:color w:val="000000"/>
                <w:kern w:val="0"/>
                <w:szCs w:val="21"/>
                <w:highlight w:val="none"/>
              </w:rPr>
              <w:br w:type="textWrapping"/>
            </w:r>
          </w:p>
        </w:tc>
        <w:tc>
          <w:tcPr>
            <w:tcW w:w="520"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759"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348"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资金投入</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5分）</w:t>
            </w:r>
          </w:p>
          <w:p>
            <w:pPr>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　</w:t>
            </w: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预算编制</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科学性</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lang w:val="en-US" w:eastAsia="zh-CN"/>
              </w:rPr>
              <w:t>2.5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2.5</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759"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348"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资金分配</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合理性</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lang w:val="en-US" w:eastAsia="zh-CN"/>
              </w:rPr>
              <w:t>2.5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2.5</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759" w:type="pct"/>
            <w:vMerge w:val="restart"/>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过程</w:t>
            </w:r>
          </w:p>
          <w:p>
            <w:pPr>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（1</w:t>
            </w:r>
            <w:r>
              <w:rPr>
                <w:rFonts w:hint="eastAsia" w:ascii="方正书宋简体" w:hAnsi="黑体" w:eastAsia="方正书宋简体" w:cs="宋体"/>
                <w:color w:val="000000"/>
                <w:kern w:val="0"/>
                <w:szCs w:val="21"/>
                <w:highlight w:val="none"/>
                <w:lang w:val="en-US" w:eastAsia="zh-CN"/>
              </w:rPr>
              <w:t>5</w:t>
            </w:r>
            <w:r>
              <w:rPr>
                <w:rFonts w:hint="eastAsia" w:ascii="方正书宋简体" w:hAnsi="黑体" w:eastAsia="方正书宋简体" w:cs="宋体"/>
                <w:color w:val="000000"/>
                <w:kern w:val="0"/>
                <w:szCs w:val="21"/>
                <w:highlight w:val="none"/>
              </w:rPr>
              <w:t>分）</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　　</w:t>
            </w:r>
          </w:p>
        </w:tc>
        <w:tc>
          <w:tcPr>
            <w:tcW w:w="1348"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资金管理</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5）</w:t>
            </w: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资金到位率</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59"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348"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预算执行率</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759"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34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资金管理</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5分）</w:t>
            </w: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资金使用</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合规性</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lang w:val="en-US" w:eastAsia="zh-CN"/>
              </w:rPr>
              <w:t>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45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r>
              <w:rPr>
                <w:rFonts w:hint="eastAsia" w:ascii="方正书宋简体" w:hAnsi="黑体" w:eastAsia="方正书宋简体" w:cs="宋体"/>
                <w:color w:val="000000"/>
                <w:kern w:val="0"/>
                <w:szCs w:val="21"/>
                <w:highlight w:val="none"/>
                <w:lang w:val="en-US" w:eastAsia="zh-CN"/>
              </w:rPr>
              <w:t>5</w:t>
            </w:r>
          </w:p>
        </w:tc>
        <w:tc>
          <w:tcPr>
            <w:tcW w:w="520"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r>
              <w:rPr>
                <w:rFonts w:hint="eastAsia" w:ascii="方正书宋简体" w:hAnsi="黑体" w:eastAsia="方正书宋简体" w:cs="宋体"/>
                <w:color w:val="000000"/>
                <w:kern w:val="0"/>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759"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348"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组织实施</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5分）</w:t>
            </w:r>
          </w:p>
          <w:p>
            <w:pPr>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　</w:t>
            </w: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管理制度</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健全性</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759"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348"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制度执行</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有效性</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2.5分）</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rPr>
              <w:t>2</w:t>
            </w:r>
            <w:r>
              <w:rPr>
                <w:rFonts w:hint="eastAsia" w:ascii="方正书宋简体" w:hAnsi="黑体" w:eastAsia="方正书宋简体" w:cs="宋体"/>
                <w:color w:val="000000"/>
                <w:kern w:val="0"/>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759"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产出</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w:t>
            </w:r>
            <w:r>
              <w:rPr>
                <w:rFonts w:hint="eastAsia" w:ascii="方正书宋简体" w:hAnsi="黑体" w:eastAsia="方正书宋简体" w:cs="宋体"/>
                <w:color w:val="000000"/>
                <w:kern w:val="0"/>
                <w:szCs w:val="21"/>
                <w:highlight w:val="none"/>
                <w:lang w:val="en-US" w:eastAsia="zh-CN"/>
              </w:rPr>
              <w:t>40</w:t>
            </w:r>
            <w:r>
              <w:rPr>
                <w:rFonts w:hint="eastAsia" w:ascii="方正书宋简体" w:hAnsi="黑体" w:eastAsia="方正书宋简体" w:cs="宋体"/>
                <w:color w:val="000000"/>
                <w:kern w:val="0"/>
                <w:szCs w:val="21"/>
                <w:highlight w:val="none"/>
              </w:rPr>
              <w:t>分）</w:t>
            </w:r>
          </w:p>
        </w:tc>
        <w:tc>
          <w:tcPr>
            <w:tcW w:w="1348"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产出数量</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10分）</w:t>
            </w:r>
          </w:p>
        </w:tc>
        <w:tc>
          <w:tcPr>
            <w:tcW w:w="1912"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享受职工医疗、居民医疗、生育保险待遇人数共计9996000人完成率100%</w:t>
            </w:r>
          </w:p>
          <w:p>
            <w:pPr>
              <w:widowControl/>
              <w:spacing w:line="240" w:lineRule="exact"/>
              <w:jc w:val="center"/>
              <w:rPr>
                <w:rFonts w:hint="default" w:ascii="方正书宋简体" w:hAnsi="黑体" w:eastAsia="方正书宋简体" w:cs="宋体"/>
                <w:color w:val="000000"/>
                <w:kern w:val="0"/>
                <w:szCs w:val="21"/>
                <w:highlight w:val="none"/>
                <w:lang w:val="en-US"/>
              </w:rPr>
            </w:pPr>
            <w:r>
              <w:rPr>
                <w:rFonts w:hint="eastAsia" w:ascii="方正书宋简体" w:hAnsi="黑体" w:eastAsia="方正书宋简体" w:cs="宋体"/>
                <w:color w:val="000000"/>
                <w:kern w:val="0"/>
                <w:szCs w:val="21"/>
                <w:highlight w:val="none"/>
                <w:lang w:val="en-US" w:eastAsia="zh-CN"/>
              </w:rPr>
              <w:t>（4分）</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4</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759"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348"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p>
        </w:tc>
        <w:tc>
          <w:tcPr>
            <w:tcW w:w="1912"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医疗保险等业务宣传4次完成率100%</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（3分）</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3</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759"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348"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举办医疗保险会议3次完成率100%</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（1分）</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6" w:hRule="atLeast"/>
          <w:jc w:val="center"/>
        </w:trPr>
        <w:tc>
          <w:tcPr>
            <w:tcW w:w="759"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348"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转移业务邮寄单据数10000件完成率100%</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（2分）</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759"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348"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产出质量</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10分）</w:t>
            </w: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待遇发放合规率100%</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（4分）</w:t>
            </w:r>
          </w:p>
        </w:tc>
        <w:tc>
          <w:tcPr>
            <w:tcW w:w="45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4</w:t>
            </w:r>
          </w:p>
        </w:tc>
        <w:tc>
          <w:tcPr>
            <w:tcW w:w="520"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759"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348" w:type="pct"/>
            <w:vMerge w:val="continue"/>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业务宣传率100%</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（3分）</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3</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759"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348" w:type="pct"/>
            <w:vMerge w:val="continue"/>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培训到位率100%</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（1分）</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9"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348" w:type="pct"/>
            <w:vMerge w:val="continue"/>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单据发放率100%</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(2分）</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759"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348" w:type="pct"/>
            <w:vMerge w:val="restart"/>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产出时效</w:t>
            </w:r>
          </w:p>
          <w:p>
            <w:pPr>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10分）</w:t>
            </w: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医疗、生育保险待遇发放工作完成及时性100%</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（4分）</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4</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59"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348"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lang w:eastAsia="zh-CN"/>
              </w:rPr>
            </w:pP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宣传工作完成及时性100%</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（3分）</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3</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759"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348"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lang w:eastAsia="zh-CN"/>
              </w:rPr>
            </w:pP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培训工作完成及时性100%</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（1分）</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759"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rPr>
            </w:pPr>
          </w:p>
        </w:tc>
        <w:tc>
          <w:tcPr>
            <w:tcW w:w="1348" w:type="pct"/>
            <w:vMerge w:val="continue"/>
            <w:shd w:val="clear" w:color="auto" w:fill="auto"/>
            <w:vAlign w:val="center"/>
          </w:tcPr>
          <w:p>
            <w:pPr>
              <w:spacing w:line="240" w:lineRule="exact"/>
              <w:jc w:val="center"/>
              <w:rPr>
                <w:rFonts w:hint="eastAsia" w:ascii="方正书宋简体" w:hAnsi="黑体" w:eastAsia="方正书宋简体" w:cs="宋体"/>
                <w:color w:val="000000"/>
                <w:kern w:val="0"/>
                <w:szCs w:val="21"/>
                <w:highlight w:val="none"/>
                <w:lang w:eastAsia="zh-CN"/>
              </w:rPr>
            </w:pP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单据发放及时性100%</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（2分）</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759"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348"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产出成本</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10分)</w:t>
            </w: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医疗、生育保险待遇发放成本控制率100%</w:t>
            </w:r>
          </w:p>
          <w:p>
            <w:pPr>
              <w:widowControl/>
              <w:spacing w:line="240" w:lineRule="exact"/>
              <w:jc w:val="center"/>
              <w:rPr>
                <w:rFonts w:hint="default" w:ascii="方正书宋简体" w:hAnsi="黑体" w:eastAsia="方正书宋简体" w:cs="宋体"/>
                <w:color w:val="000000"/>
                <w:kern w:val="0"/>
                <w:szCs w:val="21"/>
                <w:highlight w:val="none"/>
                <w:lang w:val="en-US"/>
              </w:rPr>
            </w:pPr>
            <w:r>
              <w:rPr>
                <w:rFonts w:hint="eastAsia" w:ascii="方正书宋简体" w:hAnsi="黑体" w:eastAsia="方正书宋简体" w:cs="宋体"/>
                <w:color w:val="000000"/>
                <w:kern w:val="0"/>
                <w:szCs w:val="21"/>
                <w:highlight w:val="none"/>
                <w:lang w:val="en-US" w:eastAsia="zh-CN"/>
              </w:rPr>
              <w:t>（4分）</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4</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59"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348"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宣传成本控制率100%</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（3分）</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3</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759"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348"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培训成本控制率100%</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（1分）</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759"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348"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eastAsia="zh-CN"/>
              </w:rPr>
            </w:pP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单据发放成本控制率100%</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（2分）</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59" w:type="pct"/>
            <w:vMerge w:val="restar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效益</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（20分）　</w:t>
            </w:r>
          </w:p>
        </w:tc>
        <w:tc>
          <w:tcPr>
            <w:tcW w:w="134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社会效益</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(10分）</w:t>
            </w: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解决我市城乡居民医疗保险难题，提高我市医疗保险覆盖面</w:t>
            </w:r>
          </w:p>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（10分）</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10</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759" w:type="pct"/>
            <w:vMerge w:val="continue"/>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p>
        </w:tc>
        <w:tc>
          <w:tcPr>
            <w:tcW w:w="1348"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可持续效益</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Calibri" w:hAnsi="Calibri" w:eastAsia="宋体" w:cs="Times New Roman"/>
                <w:highlight w:val="none"/>
                <w:lang w:eastAsia="zh-CN"/>
              </w:rPr>
              <w:t>（</w:t>
            </w:r>
            <w:r>
              <w:rPr>
                <w:rFonts w:hint="eastAsia" w:ascii="方正书宋简体" w:hAnsi="黑体" w:eastAsia="方正书宋简体" w:cs="宋体"/>
                <w:color w:val="000000"/>
                <w:kern w:val="0"/>
                <w:szCs w:val="21"/>
                <w:highlight w:val="none"/>
                <w:lang w:val="en-US" w:eastAsia="zh-CN"/>
              </w:rPr>
              <w:t>10</w:t>
            </w:r>
            <w:r>
              <w:rPr>
                <w:rFonts w:hint="eastAsia" w:ascii="Calibri" w:hAnsi="Calibri" w:eastAsia="宋体" w:cs="Times New Roman"/>
                <w:highlight w:val="none"/>
                <w:lang w:val="en-US" w:eastAsia="zh-CN"/>
              </w:rPr>
              <w:t>分</w:t>
            </w:r>
            <w:r>
              <w:rPr>
                <w:rFonts w:hint="eastAsia"/>
                <w:highlight w:val="none"/>
                <w:lang w:val="en-US" w:eastAsia="zh-CN"/>
              </w:rPr>
              <w:t>）</w:t>
            </w: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社会保险业务长期发展，保持我处服务意识，提高我处工作效率</w:t>
            </w:r>
          </w:p>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lang w:val="en-US" w:eastAsia="zh-CN"/>
              </w:rPr>
              <w:t>（10分）</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10</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759"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满意度</w:t>
            </w:r>
          </w:p>
          <w:p>
            <w:pPr>
              <w:widowControl/>
              <w:spacing w:line="240" w:lineRule="exact"/>
              <w:jc w:val="center"/>
              <w:rPr>
                <w:rFonts w:ascii="方正书宋简体" w:hAnsi="黑体" w:eastAsia="方正书宋简体" w:cs="宋体"/>
                <w:color w:val="000000"/>
                <w:kern w:val="0"/>
                <w:szCs w:val="21"/>
                <w:highlight w:val="none"/>
              </w:rPr>
            </w:pPr>
            <w:r>
              <w:rPr>
                <w:rFonts w:hint="eastAsia" w:ascii="方正书宋简体" w:hAnsi="黑体" w:eastAsia="方正书宋简体" w:cs="宋体"/>
                <w:color w:val="000000"/>
                <w:kern w:val="0"/>
                <w:szCs w:val="21"/>
                <w:highlight w:val="none"/>
              </w:rPr>
              <w:t>（</w:t>
            </w:r>
            <w:r>
              <w:rPr>
                <w:rFonts w:hint="eastAsia" w:ascii="方正书宋简体" w:hAnsi="黑体" w:eastAsia="方正书宋简体" w:cs="宋体"/>
                <w:color w:val="000000"/>
                <w:kern w:val="0"/>
                <w:szCs w:val="21"/>
                <w:highlight w:val="none"/>
                <w:lang w:val="en-US" w:eastAsia="zh-CN"/>
              </w:rPr>
              <w:t>10</w:t>
            </w:r>
            <w:r>
              <w:rPr>
                <w:rFonts w:hint="eastAsia" w:ascii="方正书宋简体" w:hAnsi="黑体" w:eastAsia="方正书宋简体" w:cs="宋体"/>
                <w:color w:val="000000"/>
                <w:kern w:val="0"/>
                <w:szCs w:val="21"/>
                <w:highlight w:val="none"/>
              </w:rPr>
              <w:t>分）</w:t>
            </w:r>
          </w:p>
        </w:tc>
        <w:tc>
          <w:tcPr>
            <w:tcW w:w="1348"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rPr>
              <w:t>社会公众或服务对象满意度</w:t>
            </w:r>
            <w:r>
              <w:rPr>
                <w:rFonts w:hint="eastAsia" w:ascii="方正书宋简体" w:hAnsi="黑体" w:eastAsia="方正书宋简体" w:cs="宋体"/>
                <w:color w:val="000000"/>
                <w:kern w:val="0"/>
                <w:szCs w:val="21"/>
                <w:highlight w:val="none"/>
                <w:lang w:eastAsia="zh-CN"/>
              </w:rPr>
              <w:t>（</w:t>
            </w:r>
            <w:r>
              <w:rPr>
                <w:rFonts w:hint="eastAsia" w:ascii="方正书宋简体" w:hAnsi="黑体" w:eastAsia="方正书宋简体" w:cs="宋体"/>
                <w:color w:val="000000"/>
                <w:kern w:val="0"/>
                <w:szCs w:val="21"/>
                <w:highlight w:val="none"/>
                <w:lang w:val="en-US" w:eastAsia="zh-CN"/>
              </w:rPr>
              <w:t>10分）</w:t>
            </w:r>
          </w:p>
        </w:tc>
        <w:tc>
          <w:tcPr>
            <w:tcW w:w="1912" w:type="pct"/>
            <w:shd w:val="clear" w:color="auto" w:fill="auto"/>
            <w:vAlign w:val="center"/>
          </w:tcPr>
          <w:p>
            <w:pPr>
              <w:widowControl/>
              <w:spacing w:line="240" w:lineRule="exact"/>
              <w:jc w:val="center"/>
              <w:rPr>
                <w:rFonts w:hint="eastAsia"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rPr>
              <w:t>群众满意率</w:t>
            </w:r>
            <w:r>
              <w:rPr>
                <w:rFonts w:hint="eastAsia" w:ascii="方正书宋简体" w:hAnsi="黑体" w:eastAsia="方正书宋简体" w:cs="宋体"/>
                <w:color w:val="000000"/>
                <w:kern w:val="0"/>
                <w:szCs w:val="21"/>
                <w:highlight w:val="none"/>
                <w:lang w:val="en-US" w:eastAsia="zh-CN"/>
              </w:rPr>
              <w:t>95%</w:t>
            </w:r>
          </w:p>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（10分）</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10</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4020" w:type="pct"/>
            <w:gridSpan w:val="3"/>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总分</w:t>
            </w:r>
          </w:p>
        </w:tc>
        <w:tc>
          <w:tcPr>
            <w:tcW w:w="459"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100</w:t>
            </w:r>
          </w:p>
        </w:tc>
        <w:tc>
          <w:tcPr>
            <w:tcW w:w="520" w:type="pct"/>
            <w:shd w:val="clear" w:color="auto" w:fill="auto"/>
            <w:vAlign w:val="center"/>
          </w:tcPr>
          <w:p>
            <w:pPr>
              <w:widowControl/>
              <w:spacing w:line="240" w:lineRule="exact"/>
              <w:jc w:val="center"/>
              <w:rPr>
                <w:rFonts w:hint="default" w:ascii="方正书宋简体" w:hAnsi="黑体" w:eastAsia="方正书宋简体" w:cs="宋体"/>
                <w:color w:val="000000"/>
                <w:kern w:val="0"/>
                <w:szCs w:val="21"/>
                <w:highlight w:val="none"/>
                <w:lang w:val="en-US" w:eastAsia="zh-CN"/>
              </w:rPr>
            </w:pPr>
            <w:r>
              <w:rPr>
                <w:rFonts w:hint="eastAsia" w:ascii="方正书宋简体" w:hAnsi="黑体" w:eastAsia="方正书宋简体" w:cs="宋体"/>
                <w:color w:val="000000"/>
                <w:kern w:val="0"/>
                <w:szCs w:val="21"/>
                <w:highlight w:val="none"/>
                <w:lang w:val="en-US" w:eastAsia="zh-CN"/>
              </w:rPr>
              <w:t>93</w:t>
            </w:r>
          </w:p>
        </w:tc>
      </w:tr>
    </w:tbl>
    <w:p>
      <w:pPr>
        <w:keepNext w:val="0"/>
        <w:keepLines w:val="0"/>
        <w:pageBreakBefore w:val="0"/>
        <w:widowControl w:val="0"/>
        <w:kinsoku/>
        <w:wordWrap/>
        <w:overflowPunct/>
        <w:topLinePunct w:val="0"/>
        <w:autoSpaceDE/>
        <w:autoSpaceDN/>
        <w:bidi w:val="0"/>
        <w:adjustRightInd/>
        <w:spacing w:line="600" w:lineRule="exact"/>
        <w:ind w:left="0" w:firstLine="640" w:firstLineChars="200"/>
        <w:textAlignment w:val="auto"/>
        <w:rPr>
          <w:rFonts w:hint="eastAsia" w:ascii="仿宋" w:hAnsi="仿宋" w:eastAsia="仿宋"/>
          <w:sz w:val="32"/>
          <w:szCs w:val="32"/>
          <w:highlight w:val="none"/>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0"/>
        <w:rPr>
          <w:rFonts w:hint="eastAsia" w:ascii="黑体" w:hAnsi="Calibri" w:eastAsia="黑体" w:cs="Times New Roman"/>
          <w:sz w:val="28"/>
          <w:szCs w:val="28"/>
          <w:highlight w:val="none"/>
          <w:lang w:val="en-US" w:eastAsia="zh-CN"/>
        </w:rPr>
      </w:pPr>
      <w:r>
        <w:rPr>
          <w:rFonts w:hint="eastAsia" w:ascii="黑体" w:hAnsi="Calibri" w:eastAsia="黑体" w:cs="Times New Roman"/>
          <w:sz w:val="28"/>
          <w:szCs w:val="28"/>
          <w:highlight w:val="none"/>
          <w:lang w:val="en-US" w:eastAsia="zh-CN"/>
        </w:rPr>
        <w:t>四、绩效评价指标分析</w:t>
      </w:r>
    </w:p>
    <w:p>
      <w:pPr>
        <w:keepNext w:val="0"/>
        <w:keepLines w:val="0"/>
        <w:pageBreakBefore w:val="0"/>
        <w:kinsoku/>
        <w:wordWrap/>
        <w:overflowPunct/>
        <w:topLinePunct w:val="0"/>
        <w:autoSpaceDE/>
        <w:autoSpaceDN/>
        <w:bidi w:val="0"/>
        <w:adjustRightInd/>
        <w:snapToGrid/>
        <w:spacing w:line="600" w:lineRule="exact"/>
        <w:ind w:firstLine="562" w:firstLineChars="200"/>
        <w:textAlignment w:val="auto"/>
        <w:outlineLvl w:val="0"/>
        <w:rPr>
          <w:rFonts w:hint="eastAsia" w:ascii="楷体_GB2312" w:eastAsia="楷体_GB2312"/>
          <w:b/>
          <w:color w:val="000000"/>
          <w:sz w:val="28"/>
          <w:szCs w:val="28"/>
          <w:highlight w:val="none"/>
        </w:rPr>
      </w:pPr>
      <w:r>
        <w:rPr>
          <w:rFonts w:hint="eastAsia" w:ascii="楷体_GB2312" w:eastAsia="楷体_GB2312"/>
          <w:b/>
          <w:color w:val="000000"/>
          <w:sz w:val="28"/>
          <w:szCs w:val="28"/>
          <w:highlight w:val="none"/>
        </w:rPr>
        <w:t>（一）项目决策情况。</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0"/>
        <w:rPr>
          <w:rFonts w:hint="eastAsia" w:ascii="黑体" w:eastAsia="黑体"/>
          <w:sz w:val="28"/>
          <w:szCs w:val="28"/>
          <w:highlight w:val="none"/>
        </w:rPr>
      </w:pPr>
      <w:r>
        <w:rPr>
          <w:rFonts w:hint="eastAsia" w:ascii="黑体" w:eastAsia="黑体"/>
          <w:sz w:val="28"/>
          <w:szCs w:val="28"/>
          <w:highlight w:val="none"/>
        </w:rPr>
        <w:t>1、项目立项依据</w:t>
      </w:r>
      <w:r>
        <w:rPr>
          <w:rFonts w:ascii="黑体" w:eastAsia="黑体"/>
          <w:sz w:val="28"/>
          <w:szCs w:val="28"/>
          <w:highlight w:val="none"/>
        </w:rPr>
        <w:t>充分性、</w:t>
      </w:r>
      <w:r>
        <w:rPr>
          <w:rFonts w:hint="eastAsia" w:ascii="黑体" w:eastAsia="黑体"/>
          <w:sz w:val="28"/>
          <w:szCs w:val="28"/>
          <w:highlight w:val="none"/>
        </w:rPr>
        <w:t>规范性</w:t>
      </w:r>
      <w:r>
        <w:rPr>
          <w:rFonts w:ascii="黑体" w:eastAsia="黑体"/>
          <w:sz w:val="28"/>
          <w:szCs w:val="28"/>
          <w:highlight w:val="none"/>
        </w:rPr>
        <w:t>程序</w:t>
      </w:r>
      <w:r>
        <w:rPr>
          <w:rFonts w:hint="eastAsia" w:ascii="黑体" w:eastAsia="黑体"/>
          <w:sz w:val="28"/>
          <w:szCs w:val="28"/>
          <w:highlight w:val="none"/>
        </w:rPr>
        <w:t>情况分析</w:t>
      </w:r>
      <w:r>
        <w:rPr>
          <w:rFonts w:hint="eastAsia" w:ascii="黑体" w:hAnsi="Calibri" w:eastAsia="黑体" w:cs="Times New Roman"/>
          <w:sz w:val="28"/>
          <w:szCs w:val="28"/>
          <w:highlight w:val="none"/>
          <w:lang w:val="en-US" w:eastAsia="zh-CN"/>
        </w:rPr>
        <w:t>（分值</w:t>
      </w:r>
      <w:r>
        <w:rPr>
          <w:rFonts w:hint="eastAsia" w:ascii="黑体" w:eastAsia="黑体" w:cs="Times New Roman"/>
          <w:sz w:val="28"/>
          <w:szCs w:val="28"/>
          <w:highlight w:val="none"/>
          <w:lang w:val="en-US" w:eastAsia="zh-CN"/>
        </w:rPr>
        <w:t>5</w:t>
      </w:r>
      <w:r>
        <w:rPr>
          <w:rFonts w:hint="eastAsia" w:ascii="黑体" w:hAnsi="Calibri" w:eastAsia="黑体" w:cs="Times New Roman"/>
          <w:sz w:val="28"/>
          <w:szCs w:val="28"/>
          <w:highlight w:val="none"/>
          <w:lang w:val="en-US" w:eastAsia="zh-CN"/>
        </w:rPr>
        <w:t>分，得分</w:t>
      </w:r>
      <w:r>
        <w:rPr>
          <w:rFonts w:hint="eastAsia" w:ascii="黑体" w:eastAsia="黑体" w:cs="Times New Roman"/>
          <w:sz w:val="28"/>
          <w:szCs w:val="28"/>
          <w:highlight w:val="none"/>
          <w:lang w:val="en-US" w:eastAsia="zh-CN"/>
        </w:rPr>
        <w:t>5</w:t>
      </w:r>
      <w:r>
        <w:rPr>
          <w:rFonts w:hint="eastAsia" w:ascii="黑体" w:hAnsi="Calibri" w:eastAsia="黑体" w:cs="Times New Roman"/>
          <w:sz w:val="28"/>
          <w:szCs w:val="28"/>
          <w:highlight w:val="none"/>
          <w:lang w:val="en-US" w:eastAsia="zh-CN"/>
        </w:rPr>
        <w:t>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南昌市医疗保险事业管理处医疗保险业务及办公经费补助项目是预算内项目，按照财政相关要求立项实施的，该项目立项依据充分，符合南昌市医疗保险事业管理处日常职责所需，本次项目资金由南昌市财政局下拨，本次所需经费纳入部门预算，属于公共财政支持范围，且同时符合中央、地方事权支出责任划分原则，该指标得分2.5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Times New Roman"/>
          <w:sz w:val="32"/>
          <w:szCs w:val="32"/>
          <w:highlight w:val="none"/>
        </w:rPr>
      </w:pPr>
      <w:r>
        <w:rPr>
          <w:rFonts w:hint="eastAsia" w:ascii="仿宋_GB2312" w:hAnsi="仿宋_GB2312" w:eastAsia="仿宋_GB2312" w:cs="仿宋_GB2312"/>
          <w:sz w:val="32"/>
          <w:szCs w:val="32"/>
          <w:highlight w:val="none"/>
          <w:lang w:val="en-US" w:eastAsia="zh-CN"/>
        </w:rPr>
        <w:t>该项目依照了一般项目立项规定的程序申请设立，由</w:t>
      </w:r>
      <w:r>
        <w:rPr>
          <w:rFonts w:hint="eastAsia" w:ascii="仿宋_GB2312" w:hAnsi="仿宋_GB2312" w:eastAsia="仿宋_GB2312" w:cs="仿宋_GB2312"/>
          <w:sz w:val="32"/>
          <w:szCs w:val="32"/>
          <w:highlight w:val="none"/>
        </w:rPr>
        <w:t>南昌市医疗保险事业管理处</w:t>
      </w:r>
      <w:r>
        <w:rPr>
          <w:rFonts w:hint="eastAsia" w:ascii="仿宋_GB2312" w:hAnsi="仿宋_GB2312" w:eastAsia="仿宋_GB2312" w:cs="仿宋_GB2312"/>
          <w:sz w:val="32"/>
          <w:szCs w:val="32"/>
          <w:highlight w:val="none"/>
          <w:lang w:val="en-US" w:eastAsia="zh-CN"/>
        </w:rPr>
        <w:t>提交项目申报书及申报表，经主管局审核无误后，提交市财政局及同级人大审批，最终按照批复文件下达项目预算资金。项目立项程序规范完整，项目审批文件、材料符合财政相关立项要求，该指标得分2.5分。</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0"/>
        <w:rPr>
          <w:rFonts w:hint="eastAsia" w:ascii="黑体" w:hAnsi="Calibri" w:eastAsia="黑体" w:cs="Times New Roman"/>
          <w:sz w:val="28"/>
          <w:szCs w:val="28"/>
          <w:highlight w:val="none"/>
        </w:rPr>
      </w:pPr>
      <w:r>
        <w:rPr>
          <w:rFonts w:hint="eastAsia" w:ascii="黑体" w:hAnsi="Calibri" w:eastAsia="黑体" w:cs="Times New Roman"/>
          <w:sz w:val="28"/>
          <w:szCs w:val="28"/>
          <w:highlight w:val="none"/>
        </w:rPr>
        <w:t>2、绩效目标合理性、指标明确性情况分析</w:t>
      </w:r>
      <w:r>
        <w:rPr>
          <w:rFonts w:hint="eastAsia" w:ascii="黑体" w:hAnsi="Calibri" w:eastAsia="黑体" w:cs="Times New Roman"/>
          <w:sz w:val="28"/>
          <w:szCs w:val="28"/>
          <w:highlight w:val="none"/>
          <w:lang w:val="en-US" w:eastAsia="zh-CN"/>
        </w:rPr>
        <w:t>（分值</w:t>
      </w:r>
      <w:r>
        <w:rPr>
          <w:rFonts w:hint="eastAsia" w:ascii="黑体" w:eastAsia="黑体" w:cs="Times New Roman"/>
          <w:sz w:val="28"/>
          <w:szCs w:val="28"/>
          <w:highlight w:val="none"/>
          <w:lang w:val="en-US" w:eastAsia="zh-CN"/>
        </w:rPr>
        <w:t>5</w:t>
      </w:r>
      <w:r>
        <w:rPr>
          <w:rFonts w:hint="eastAsia" w:ascii="黑体" w:hAnsi="Calibri" w:eastAsia="黑体" w:cs="Times New Roman"/>
          <w:sz w:val="28"/>
          <w:szCs w:val="28"/>
          <w:highlight w:val="none"/>
          <w:lang w:val="en-US" w:eastAsia="zh-CN"/>
        </w:rPr>
        <w:t>分，得分</w:t>
      </w:r>
      <w:r>
        <w:rPr>
          <w:rFonts w:hint="eastAsia" w:ascii="黑体" w:eastAsia="黑体" w:cs="Times New Roman"/>
          <w:sz w:val="28"/>
          <w:szCs w:val="28"/>
          <w:highlight w:val="none"/>
          <w:lang w:val="en-US" w:eastAsia="zh-CN"/>
        </w:rPr>
        <w:t>5</w:t>
      </w:r>
      <w:r>
        <w:rPr>
          <w:rFonts w:hint="eastAsia" w:ascii="黑体" w:hAnsi="Calibri" w:eastAsia="黑体" w:cs="Times New Roman"/>
          <w:sz w:val="28"/>
          <w:szCs w:val="28"/>
          <w:highlight w:val="none"/>
          <w:lang w:val="en-US" w:eastAsia="zh-CN"/>
        </w:rPr>
        <w:t>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该项目在财政信息一体化系统里填报了2020年南昌市医疗保险事业管理处项目预算资金和绩效目标信息，绩效目标设置情况与实际工作内容基本相符，项目预期产出及效益与正常的业绩水平相适应，按</w:t>
      </w:r>
      <w:r>
        <w:rPr>
          <w:rFonts w:hint="eastAsia" w:ascii="仿宋_GB2312" w:hAnsi="仿宋_GB2312" w:eastAsia="仿宋_GB2312" w:cs="仿宋_GB2312"/>
          <w:sz w:val="32"/>
          <w:szCs w:val="32"/>
          <w:highlight w:val="none"/>
          <w:lang w:val="en-US" w:eastAsia="zh-CN"/>
        </w:rPr>
        <w:t>资</w:t>
      </w:r>
      <w:r>
        <w:rPr>
          <w:rFonts w:hint="eastAsia" w:ascii="仿宋_GB2312" w:hAnsi="仿宋_GB2312" w:eastAsia="仿宋_GB2312" w:cs="仿宋_GB2312"/>
          <w:sz w:val="32"/>
          <w:szCs w:val="32"/>
          <w:highlight w:val="none"/>
        </w:rPr>
        <w:t>金测算依据为标准设定的绩效目标与预算确定的项目资金量相匹配，该指标得分</w:t>
      </w:r>
      <w:r>
        <w:rPr>
          <w:rFonts w:hint="eastAsia" w:ascii="仿宋_GB2312" w:hAnsi="仿宋_GB2312" w:eastAsia="仿宋_GB2312" w:cs="仿宋_GB2312"/>
          <w:sz w:val="32"/>
          <w:szCs w:val="32"/>
          <w:highlight w:val="none"/>
          <w:lang w:val="en-US" w:eastAsia="zh-CN"/>
        </w:rPr>
        <w:t>2.5</w:t>
      </w:r>
      <w:r>
        <w:rPr>
          <w:rFonts w:hint="eastAsia" w:ascii="仿宋_GB2312" w:hAnsi="仿宋_GB2312" w:eastAsia="仿宋_GB2312" w:cs="仿宋_GB2312"/>
          <w:sz w:val="32"/>
          <w:szCs w:val="32"/>
          <w:highlight w:val="none"/>
        </w:rPr>
        <w:t>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南昌市医疗保险事业管理处医疗保险业务及办公经费补助</w:t>
      </w:r>
      <w:r>
        <w:rPr>
          <w:rFonts w:hint="eastAsia" w:ascii="仿宋_GB2312" w:hAnsi="仿宋_GB2312" w:eastAsia="仿宋_GB2312" w:cs="仿宋_GB2312"/>
          <w:sz w:val="32"/>
          <w:szCs w:val="32"/>
          <w:highlight w:val="none"/>
          <w:lang w:eastAsia="zh-CN"/>
        </w:rPr>
        <w:t>项目</w:t>
      </w:r>
      <w:r>
        <w:rPr>
          <w:rFonts w:hint="eastAsia" w:ascii="仿宋_GB2312" w:hAnsi="仿宋_GB2312" w:eastAsia="仿宋_GB2312" w:cs="仿宋_GB2312"/>
          <w:sz w:val="32"/>
          <w:szCs w:val="32"/>
          <w:highlight w:val="none"/>
          <w:lang w:val="en-US" w:eastAsia="zh-CN"/>
        </w:rPr>
        <w:t>根据2020年度项目实施内容，设置了数量、质量、时效、成本、社会效益、可持续影响及服务对象满意度等绩效指标，指标设置较为量化，指标内容较为明确，该指标得分2.5分。</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0"/>
        <w:rPr>
          <w:rFonts w:hint="eastAsia" w:ascii="黑体" w:hAnsi="Calibri" w:eastAsia="黑体" w:cs="Times New Roman"/>
          <w:sz w:val="28"/>
          <w:szCs w:val="28"/>
          <w:highlight w:val="none"/>
        </w:rPr>
      </w:pPr>
      <w:r>
        <w:rPr>
          <w:rFonts w:hint="eastAsia" w:ascii="黑体" w:hAnsi="Calibri" w:eastAsia="黑体" w:cs="Times New Roman"/>
          <w:sz w:val="28"/>
          <w:szCs w:val="28"/>
          <w:highlight w:val="none"/>
        </w:rPr>
        <w:t>3、项目资金预算编制科学性、资金分配合理性情况分析</w:t>
      </w:r>
      <w:r>
        <w:rPr>
          <w:rFonts w:hint="eastAsia" w:ascii="黑体" w:hAnsi="Calibri" w:eastAsia="黑体" w:cs="Times New Roman"/>
          <w:sz w:val="28"/>
          <w:szCs w:val="28"/>
          <w:highlight w:val="none"/>
          <w:lang w:val="en-US" w:eastAsia="zh-CN"/>
        </w:rPr>
        <w:t>（分值</w:t>
      </w:r>
      <w:r>
        <w:rPr>
          <w:rFonts w:hint="eastAsia" w:ascii="黑体" w:eastAsia="黑体" w:cs="Times New Roman"/>
          <w:sz w:val="28"/>
          <w:szCs w:val="28"/>
          <w:highlight w:val="none"/>
          <w:lang w:val="en-US" w:eastAsia="zh-CN"/>
        </w:rPr>
        <w:t>5</w:t>
      </w:r>
      <w:r>
        <w:rPr>
          <w:rFonts w:hint="eastAsia" w:ascii="黑体" w:hAnsi="Calibri" w:eastAsia="黑体" w:cs="Times New Roman"/>
          <w:sz w:val="28"/>
          <w:szCs w:val="28"/>
          <w:highlight w:val="none"/>
          <w:lang w:val="en-US" w:eastAsia="zh-CN"/>
        </w:rPr>
        <w:t>分，得分</w:t>
      </w:r>
      <w:r>
        <w:rPr>
          <w:rFonts w:hint="eastAsia" w:ascii="黑体" w:eastAsia="黑体" w:cs="Times New Roman"/>
          <w:sz w:val="28"/>
          <w:szCs w:val="28"/>
          <w:highlight w:val="none"/>
          <w:lang w:val="en-US" w:eastAsia="zh-CN"/>
        </w:rPr>
        <w:t>5</w:t>
      </w:r>
      <w:r>
        <w:rPr>
          <w:rFonts w:hint="eastAsia" w:ascii="黑体" w:hAnsi="Calibri" w:eastAsia="黑体" w:cs="Times New Roman"/>
          <w:sz w:val="28"/>
          <w:szCs w:val="28"/>
          <w:highlight w:val="none"/>
          <w:lang w:val="en-US" w:eastAsia="zh-CN"/>
        </w:rPr>
        <w:t>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南昌市医疗保险事业管理处根据预算编制依据、预算资金总额度及资金用途进行预算编制，预算资金安排严格</w:t>
      </w:r>
      <w:r>
        <w:rPr>
          <w:rFonts w:hint="eastAsia" w:ascii="仿宋_GB2312" w:hAnsi="仿宋_GB2312" w:eastAsia="仿宋_GB2312" w:cs="仿宋_GB2312"/>
          <w:sz w:val="32"/>
          <w:szCs w:val="32"/>
          <w:highlight w:val="none"/>
          <w:lang w:val="en-US" w:eastAsia="zh-CN"/>
        </w:rPr>
        <w:t>以资金测算为依据</w:t>
      </w:r>
      <w:r>
        <w:rPr>
          <w:rFonts w:hint="eastAsia" w:ascii="仿宋_GB2312" w:hAnsi="仿宋_GB2312" w:eastAsia="仿宋_GB2312" w:cs="仿宋_GB2312"/>
          <w:sz w:val="32"/>
          <w:szCs w:val="32"/>
          <w:highlight w:val="none"/>
        </w:rPr>
        <w:t>执行，该项目依照资金具体用途编制了项目预算和资金使用测算表，资金投入分解较为细化，与项目实施内容基本匹配，该指标得分2.5分。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 w:hAnsi="仿宋" w:eastAsia="仿宋"/>
          <w:sz w:val="32"/>
          <w:szCs w:val="32"/>
          <w:highlight w:val="none"/>
        </w:rPr>
      </w:pPr>
      <w:r>
        <w:rPr>
          <w:rFonts w:hint="eastAsia" w:ascii="仿宋_GB2312" w:hAnsi="仿宋_GB2312" w:eastAsia="仿宋_GB2312" w:cs="仿宋_GB2312"/>
          <w:sz w:val="32"/>
          <w:szCs w:val="32"/>
          <w:highlight w:val="none"/>
        </w:rPr>
        <w:t>该项目的资金分配过程主要参考了资金测算依据等文件，项目资金分配内容较为细化，资金分配过程合理，该指标得分2.5分。</w:t>
      </w:r>
    </w:p>
    <w:p>
      <w:pPr>
        <w:keepNext w:val="0"/>
        <w:keepLines w:val="0"/>
        <w:pageBreakBefore w:val="0"/>
        <w:kinsoku/>
        <w:wordWrap/>
        <w:overflowPunct/>
        <w:topLinePunct w:val="0"/>
        <w:autoSpaceDE/>
        <w:autoSpaceDN/>
        <w:bidi w:val="0"/>
        <w:adjustRightInd/>
        <w:snapToGrid/>
        <w:spacing w:line="600" w:lineRule="exact"/>
        <w:ind w:firstLine="562" w:firstLineChars="200"/>
        <w:textAlignment w:val="auto"/>
        <w:outlineLvl w:val="0"/>
        <w:rPr>
          <w:rFonts w:hint="eastAsia" w:ascii="楷体_GB2312" w:hAnsi="Calibri" w:eastAsia="楷体_GB2312" w:cs="Times New Roman"/>
          <w:b/>
          <w:color w:val="000000"/>
          <w:sz w:val="28"/>
          <w:szCs w:val="28"/>
          <w:highlight w:val="none"/>
          <w:lang w:eastAsia="zh-CN"/>
        </w:rPr>
      </w:pPr>
      <w:r>
        <w:rPr>
          <w:rFonts w:hint="eastAsia" w:ascii="楷体_GB2312" w:hAnsi="Calibri" w:eastAsia="楷体_GB2312" w:cs="Times New Roman"/>
          <w:b/>
          <w:color w:val="000000"/>
          <w:sz w:val="28"/>
          <w:szCs w:val="28"/>
          <w:highlight w:val="none"/>
          <w:lang w:eastAsia="zh-CN"/>
        </w:rPr>
        <w:t>（</w:t>
      </w:r>
      <w:r>
        <w:rPr>
          <w:rFonts w:hint="eastAsia" w:ascii="楷体_GB2312" w:hAnsi="Calibri" w:eastAsia="楷体_GB2312" w:cs="Times New Roman"/>
          <w:b/>
          <w:color w:val="000000"/>
          <w:sz w:val="28"/>
          <w:szCs w:val="28"/>
          <w:highlight w:val="none"/>
          <w:lang w:val="en-US" w:eastAsia="zh-CN"/>
        </w:rPr>
        <w:t>二）</w:t>
      </w:r>
      <w:r>
        <w:rPr>
          <w:rFonts w:hint="eastAsia" w:ascii="楷体_GB2312" w:hAnsi="Calibri" w:eastAsia="楷体_GB2312" w:cs="Times New Roman"/>
          <w:b/>
          <w:color w:val="000000"/>
          <w:sz w:val="28"/>
          <w:szCs w:val="28"/>
          <w:highlight w:val="none"/>
        </w:rPr>
        <w:t>项目过程情况</w:t>
      </w:r>
      <w:r>
        <w:rPr>
          <w:rFonts w:hint="eastAsia" w:ascii="楷体_GB2312" w:hAnsi="Calibri" w:eastAsia="楷体_GB2312" w:cs="Times New Roman"/>
          <w:b/>
          <w:color w:val="000000"/>
          <w:sz w:val="28"/>
          <w:szCs w:val="28"/>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0"/>
        <w:rPr>
          <w:rFonts w:hint="eastAsia" w:ascii="黑体" w:hAnsi="Calibri" w:eastAsia="黑体" w:cs="Times New Roman"/>
          <w:sz w:val="28"/>
          <w:szCs w:val="28"/>
          <w:highlight w:val="none"/>
        </w:rPr>
      </w:pPr>
      <w:r>
        <w:rPr>
          <w:rFonts w:hint="eastAsia" w:ascii="黑体" w:hAnsi="Calibri" w:eastAsia="黑体" w:cs="Times New Roman"/>
          <w:sz w:val="28"/>
          <w:szCs w:val="28"/>
          <w:highlight w:val="none"/>
        </w:rPr>
        <w:t>1、项目资金管理资金到位率、预算执行率情况分析</w:t>
      </w:r>
      <w:r>
        <w:rPr>
          <w:rFonts w:hint="eastAsia" w:ascii="黑体" w:hAnsi="Calibri" w:eastAsia="黑体" w:cs="Times New Roman"/>
          <w:sz w:val="28"/>
          <w:szCs w:val="28"/>
          <w:highlight w:val="none"/>
          <w:lang w:val="en-US" w:eastAsia="zh-CN"/>
        </w:rPr>
        <w:t>（分值</w:t>
      </w:r>
      <w:r>
        <w:rPr>
          <w:rFonts w:hint="eastAsia" w:ascii="黑体" w:eastAsia="黑体" w:cs="Times New Roman"/>
          <w:sz w:val="28"/>
          <w:szCs w:val="28"/>
          <w:highlight w:val="none"/>
          <w:lang w:val="en-US" w:eastAsia="zh-CN"/>
        </w:rPr>
        <w:t>5</w:t>
      </w:r>
      <w:r>
        <w:rPr>
          <w:rFonts w:hint="eastAsia" w:ascii="黑体" w:hAnsi="Calibri" w:eastAsia="黑体" w:cs="Times New Roman"/>
          <w:sz w:val="28"/>
          <w:szCs w:val="28"/>
          <w:highlight w:val="none"/>
          <w:lang w:val="en-US" w:eastAsia="zh-CN"/>
        </w:rPr>
        <w:t>分，得分</w:t>
      </w:r>
      <w:r>
        <w:rPr>
          <w:rFonts w:hint="eastAsia" w:ascii="黑体" w:eastAsia="黑体" w:cs="Times New Roman"/>
          <w:sz w:val="28"/>
          <w:szCs w:val="28"/>
          <w:highlight w:val="none"/>
          <w:lang w:val="en-US" w:eastAsia="zh-CN"/>
        </w:rPr>
        <w:t>5</w:t>
      </w:r>
      <w:r>
        <w:rPr>
          <w:rFonts w:hint="eastAsia" w:ascii="黑体" w:hAnsi="Calibri" w:eastAsia="黑体" w:cs="Times New Roman"/>
          <w:sz w:val="28"/>
          <w:szCs w:val="28"/>
          <w:highlight w:val="none"/>
          <w:lang w:val="en-US" w:eastAsia="zh-CN"/>
        </w:rPr>
        <w:t>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2020年南昌市医疗保险事业管理处医疗保险业务及办公经费补助</w:t>
      </w:r>
      <w:r>
        <w:rPr>
          <w:rFonts w:hint="eastAsia" w:ascii="仿宋_GB2312" w:hAnsi="仿宋_GB2312" w:eastAsia="仿宋_GB2312" w:cs="仿宋_GB2312"/>
          <w:sz w:val="32"/>
          <w:szCs w:val="32"/>
          <w:highlight w:val="none"/>
          <w:lang w:eastAsia="zh-CN"/>
        </w:rPr>
        <w:t>项目</w:t>
      </w:r>
      <w:r>
        <w:rPr>
          <w:rFonts w:hint="eastAsia" w:ascii="仿宋_GB2312" w:hAnsi="仿宋_GB2312" w:eastAsia="仿宋_GB2312" w:cs="仿宋_GB2312"/>
          <w:sz w:val="32"/>
          <w:szCs w:val="32"/>
          <w:highlight w:val="none"/>
        </w:rPr>
        <w:t>预算安排</w:t>
      </w:r>
      <w:r>
        <w:rPr>
          <w:rFonts w:hint="eastAsia" w:ascii="仿宋_GB2312" w:hAnsi="仿宋_GB2312" w:eastAsia="仿宋_GB2312" w:cs="仿宋_GB2312"/>
          <w:sz w:val="32"/>
          <w:szCs w:val="32"/>
          <w:highlight w:val="none"/>
          <w:lang w:val="en-US" w:eastAsia="zh-CN"/>
        </w:rPr>
        <w:t>364.26</w:t>
      </w:r>
      <w:r>
        <w:rPr>
          <w:rFonts w:hint="eastAsia" w:ascii="仿宋_GB2312" w:hAnsi="仿宋_GB2312" w:eastAsia="仿宋_GB2312" w:cs="仿宋_GB2312"/>
          <w:sz w:val="32"/>
          <w:szCs w:val="32"/>
          <w:highlight w:val="none"/>
        </w:rPr>
        <w:t>万元，实际到位资金</w:t>
      </w:r>
      <w:r>
        <w:rPr>
          <w:rFonts w:hint="eastAsia" w:ascii="仿宋_GB2312" w:hAnsi="仿宋_GB2312" w:eastAsia="仿宋_GB2312" w:cs="仿宋_GB2312"/>
          <w:sz w:val="32"/>
          <w:szCs w:val="32"/>
          <w:highlight w:val="none"/>
          <w:lang w:val="en-US" w:eastAsia="zh-CN"/>
        </w:rPr>
        <w:t>364.26</w:t>
      </w:r>
      <w:r>
        <w:rPr>
          <w:rFonts w:hint="eastAsia" w:ascii="仿宋_GB2312" w:hAnsi="仿宋_GB2312" w:eastAsia="仿宋_GB2312" w:cs="仿宋_GB2312"/>
          <w:sz w:val="32"/>
          <w:szCs w:val="32"/>
          <w:highlight w:val="none"/>
        </w:rPr>
        <w:t>万元，资金到位率100%，预算支出</w:t>
      </w:r>
      <w:r>
        <w:rPr>
          <w:rFonts w:hint="eastAsia" w:ascii="仿宋_GB2312" w:hAnsi="仿宋_GB2312" w:eastAsia="仿宋_GB2312" w:cs="仿宋_GB2312"/>
          <w:sz w:val="32"/>
          <w:szCs w:val="32"/>
          <w:highlight w:val="none"/>
          <w:lang w:val="en-US" w:eastAsia="zh-CN"/>
        </w:rPr>
        <w:t>364.26</w:t>
      </w:r>
      <w:r>
        <w:rPr>
          <w:rFonts w:hint="eastAsia" w:ascii="仿宋_GB2312" w:hAnsi="仿宋_GB2312" w:eastAsia="仿宋_GB2312" w:cs="仿宋_GB2312"/>
          <w:sz w:val="32"/>
          <w:szCs w:val="32"/>
          <w:highlight w:val="none"/>
        </w:rPr>
        <w:t>万元，预算执行率100%，</w:t>
      </w:r>
      <w:r>
        <w:rPr>
          <w:rFonts w:hint="eastAsia" w:ascii="仿宋_GB2312" w:hAnsi="仿宋_GB2312" w:eastAsia="仿宋_GB2312" w:cs="仿宋_GB2312"/>
          <w:sz w:val="32"/>
          <w:szCs w:val="32"/>
          <w:highlight w:val="none"/>
          <w:lang w:val="en-US" w:eastAsia="zh-CN"/>
        </w:rPr>
        <w:t>项目支出主要用于医疗、生育保险待遇发放、举办医疗保险等业务宣传、培训工作以及转移业务邮寄单据费等。</w:t>
      </w:r>
      <w:r>
        <w:rPr>
          <w:rFonts w:hint="eastAsia" w:ascii="仿宋_GB2312" w:hAnsi="仿宋_GB2312" w:eastAsia="仿宋_GB2312" w:cs="仿宋_GB2312"/>
          <w:sz w:val="32"/>
          <w:szCs w:val="32"/>
          <w:highlight w:val="none"/>
        </w:rPr>
        <w:t>得</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分。</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0"/>
        <w:rPr>
          <w:rFonts w:hint="eastAsia" w:ascii="黑体" w:hAnsi="Calibri" w:eastAsia="黑体" w:cs="Times New Roman"/>
          <w:sz w:val="28"/>
          <w:szCs w:val="28"/>
          <w:highlight w:val="none"/>
        </w:rPr>
      </w:pPr>
      <w:r>
        <w:rPr>
          <w:rFonts w:hint="eastAsia" w:ascii="黑体" w:hAnsi="Calibri" w:eastAsia="黑体" w:cs="Times New Roman"/>
          <w:sz w:val="28"/>
          <w:szCs w:val="28"/>
          <w:highlight w:val="none"/>
        </w:rPr>
        <w:t>2、项目资金使用合规性情况分析</w:t>
      </w:r>
      <w:r>
        <w:rPr>
          <w:rFonts w:hint="eastAsia" w:ascii="黑体" w:hAnsi="Calibri" w:eastAsia="黑体" w:cs="Times New Roman"/>
          <w:sz w:val="28"/>
          <w:szCs w:val="28"/>
          <w:highlight w:val="none"/>
          <w:lang w:val="en-US" w:eastAsia="zh-CN"/>
        </w:rPr>
        <w:t>（分值</w:t>
      </w:r>
      <w:r>
        <w:rPr>
          <w:rFonts w:hint="eastAsia" w:ascii="黑体" w:eastAsia="黑体" w:cs="Times New Roman"/>
          <w:sz w:val="28"/>
          <w:szCs w:val="28"/>
          <w:highlight w:val="none"/>
          <w:lang w:val="en-US" w:eastAsia="zh-CN"/>
        </w:rPr>
        <w:t>5</w:t>
      </w:r>
      <w:r>
        <w:rPr>
          <w:rFonts w:hint="eastAsia" w:ascii="黑体" w:hAnsi="Calibri" w:eastAsia="黑体" w:cs="Times New Roman"/>
          <w:sz w:val="28"/>
          <w:szCs w:val="28"/>
          <w:highlight w:val="none"/>
          <w:lang w:val="en-US" w:eastAsia="zh-CN"/>
        </w:rPr>
        <w:t>分，得分</w:t>
      </w:r>
      <w:r>
        <w:rPr>
          <w:rFonts w:hint="eastAsia" w:ascii="黑体" w:eastAsia="黑体" w:cs="Times New Roman"/>
          <w:sz w:val="28"/>
          <w:szCs w:val="28"/>
          <w:highlight w:val="none"/>
          <w:lang w:val="en-US" w:eastAsia="zh-CN"/>
        </w:rPr>
        <w:t>5</w:t>
      </w:r>
      <w:r>
        <w:rPr>
          <w:rFonts w:hint="eastAsia" w:ascii="黑体" w:hAnsi="Calibri" w:eastAsia="黑体" w:cs="Times New Roman"/>
          <w:sz w:val="28"/>
          <w:szCs w:val="28"/>
          <w:highlight w:val="none"/>
          <w:lang w:val="en-US" w:eastAsia="zh-CN"/>
        </w:rPr>
        <w:t>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该项目资金使用依照《南昌市医疗保险事业管理处财务管理制度》等财务管理制度执行，资金的拨付有完整的审批程序和手续，且符合项目预算批复或合同规定的用途；在本次评价过程中，对该项目支出涉及的全部凭证进行了核查，未发现截留、挤占、挪用、虚列支出等情况，资金使用合规性较好，该指标得分</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分。</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0"/>
        <w:rPr>
          <w:rFonts w:hint="eastAsia" w:ascii="黑体" w:hAnsi="Calibri" w:eastAsia="黑体" w:cs="Times New Roman"/>
          <w:sz w:val="28"/>
          <w:szCs w:val="28"/>
          <w:highlight w:val="none"/>
        </w:rPr>
      </w:pPr>
      <w:r>
        <w:rPr>
          <w:rFonts w:hint="eastAsia" w:ascii="黑体" w:hAnsi="Calibri" w:eastAsia="黑体" w:cs="Times New Roman"/>
          <w:sz w:val="28"/>
          <w:szCs w:val="28"/>
          <w:highlight w:val="none"/>
        </w:rPr>
        <w:t>3、项目组织实施情况分析</w:t>
      </w:r>
      <w:r>
        <w:rPr>
          <w:rFonts w:hint="eastAsia" w:ascii="黑体" w:hAnsi="Calibri" w:eastAsia="黑体" w:cs="Times New Roman"/>
          <w:sz w:val="28"/>
          <w:szCs w:val="28"/>
          <w:highlight w:val="none"/>
          <w:lang w:val="en-US" w:eastAsia="zh-CN"/>
        </w:rPr>
        <w:t>（分值</w:t>
      </w:r>
      <w:r>
        <w:rPr>
          <w:rFonts w:hint="eastAsia" w:ascii="黑体" w:eastAsia="黑体" w:cs="Times New Roman"/>
          <w:sz w:val="28"/>
          <w:szCs w:val="28"/>
          <w:highlight w:val="none"/>
          <w:lang w:val="en-US" w:eastAsia="zh-CN"/>
        </w:rPr>
        <w:t>5</w:t>
      </w:r>
      <w:r>
        <w:rPr>
          <w:rFonts w:hint="eastAsia" w:ascii="黑体" w:hAnsi="Calibri" w:eastAsia="黑体" w:cs="Times New Roman"/>
          <w:sz w:val="28"/>
          <w:szCs w:val="28"/>
          <w:highlight w:val="none"/>
          <w:lang w:val="en-US" w:eastAsia="zh-CN"/>
        </w:rPr>
        <w:t>分，得分</w:t>
      </w:r>
      <w:r>
        <w:rPr>
          <w:rFonts w:hint="eastAsia" w:ascii="黑体" w:eastAsia="黑体" w:cs="Times New Roman"/>
          <w:sz w:val="28"/>
          <w:szCs w:val="28"/>
          <w:highlight w:val="none"/>
          <w:lang w:val="en-US" w:eastAsia="zh-CN"/>
        </w:rPr>
        <w:t>5</w:t>
      </w:r>
      <w:r>
        <w:rPr>
          <w:rFonts w:hint="eastAsia" w:ascii="黑体" w:hAnsi="Calibri" w:eastAsia="黑体" w:cs="Times New Roman"/>
          <w:sz w:val="28"/>
          <w:szCs w:val="28"/>
          <w:highlight w:val="none"/>
          <w:lang w:val="en-US" w:eastAsia="zh-CN"/>
        </w:rPr>
        <w:t>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该项目依照《</w:t>
      </w:r>
      <w:r>
        <w:rPr>
          <w:rFonts w:hint="eastAsia" w:ascii="仿宋_GB2312" w:hAnsi="仿宋_GB2312" w:eastAsia="仿宋_GB2312" w:cs="仿宋_GB2312"/>
          <w:sz w:val="32"/>
          <w:szCs w:val="32"/>
          <w:highlight w:val="none"/>
          <w:lang w:val="en-US" w:eastAsia="zh-CN"/>
        </w:rPr>
        <w:t>事业</w:t>
      </w:r>
      <w:r>
        <w:rPr>
          <w:rFonts w:hint="eastAsia" w:ascii="仿宋_GB2312" w:hAnsi="仿宋_GB2312" w:eastAsia="仿宋_GB2312" w:cs="仿宋_GB2312"/>
          <w:sz w:val="32"/>
          <w:szCs w:val="32"/>
          <w:highlight w:val="none"/>
        </w:rPr>
        <w:t>单位财务制度》、《</w:t>
      </w:r>
      <w:r>
        <w:rPr>
          <w:rFonts w:hint="eastAsia" w:ascii="仿宋_GB2312" w:hAnsi="仿宋_GB2312" w:eastAsia="仿宋_GB2312" w:cs="仿宋_GB2312"/>
          <w:sz w:val="32"/>
          <w:szCs w:val="32"/>
          <w:highlight w:val="none"/>
          <w:lang w:val="en-US" w:eastAsia="zh-CN"/>
        </w:rPr>
        <w:t>事业</w:t>
      </w:r>
      <w:r>
        <w:rPr>
          <w:rFonts w:hint="eastAsia" w:ascii="仿宋_GB2312" w:hAnsi="仿宋_GB2312" w:eastAsia="仿宋_GB2312" w:cs="仿宋_GB2312"/>
          <w:sz w:val="32"/>
          <w:szCs w:val="32"/>
          <w:highlight w:val="none"/>
        </w:rPr>
        <w:t>单位会计制度》及《南昌市医疗保险事业管理处财务管理制度》相关文件内容，设立了相应的财务管理制度和支出管理制度，相关管理制度合法、合规、完整、健全，该指标得分2.5分。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 w:hAnsi="仿宋" w:eastAsia="仿宋" w:cs="仿宋_GB2312"/>
          <w:sz w:val="32"/>
          <w:szCs w:val="32"/>
          <w:highlight w:val="none"/>
        </w:rPr>
      </w:pPr>
      <w:r>
        <w:rPr>
          <w:rFonts w:hint="eastAsia" w:ascii="仿宋_GB2312" w:hAnsi="仿宋_GB2312" w:eastAsia="仿宋_GB2312" w:cs="仿宋_GB2312"/>
          <w:sz w:val="32"/>
          <w:szCs w:val="32"/>
          <w:highlight w:val="none"/>
        </w:rPr>
        <w:t>在项目执行过程中，项目单位根据本单位制定的《财务管理制度》、《支出管理制度》等系列文件开展工作，项目实施的人员条件、场地设备、信息支撑等均已落实到位，项目实施资料归档齐全，项目支出调整手续完备，该指标得分2.5分。</w:t>
      </w:r>
    </w:p>
    <w:p>
      <w:pPr>
        <w:keepNext w:val="0"/>
        <w:keepLines w:val="0"/>
        <w:pageBreakBefore w:val="0"/>
        <w:kinsoku/>
        <w:wordWrap/>
        <w:overflowPunct/>
        <w:topLinePunct w:val="0"/>
        <w:autoSpaceDE/>
        <w:autoSpaceDN/>
        <w:bidi w:val="0"/>
        <w:adjustRightInd/>
        <w:snapToGrid/>
        <w:spacing w:line="600" w:lineRule="exact"/>
        <w:ind w:firstLine="562" w:firstLineChars="200"/>
        <w:textAlignment w:val="auto"/>
        <w:outlineLvl w:val="0"/>
        <w:rPr>
          <w:rFonts w:hint="eastAsia" w:ascii="楷体_GB2312" w:hAnsi="Calibri" w:eastAsia="楷体_GB2312" w:cs="Times New Roman"/>
          <w:b/>
          <w:color w:val="000000"/>
          <w:sz w:val="28"/>
          <w:szCs w:val="28"/>
          <w:highlight w:val="none"/>
          <w:lang w:eastAsia="zh-CN"/>
        </w:rPr>
      </w:pPr>
      <w:r>
        <w:rPr>
          <w:rFonts w:hint="eastAsia" w:ascii="楷体_GB2312" w:hAnsi="Calibri" w:eastAsia="楷体_GB2312" w:cs="Times New Roman"/>
          <w:b/>
          <w:color w:val="000000"/>
          <w:sz w:val="28"/>
          <w:szCs w:val="28"/>
          <w:highlight w:val="none"/>
          <w:lang w:eastAsia="zh-CN"/>
        </w:rPr>
        <w:t>（三）项目产出情况。</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0"/>
        <w:rPr>
          <w:rFonts w:hint="eastAsia" w:ascii="黑体" w:hAnsi="Calibri" w:eastAsia="黑体" w:cs="Times New Roman"/>
          <w:sz w:val="28"/>
          <w:szCs w:val="28"/>
          <w:highlight w:val="none"/>
        </w:rPr>
      </w:pPr>
      <w:r>
        <w:rPr>
          <w:rFonts w:hint="eastAsia" w:ascii="黑体" w:hAnsi="Calibri" w:eastAsia="黑体" w:cs="Times New Roman"/>
          <w:sz w:val="28"/>
          <w:szCs w:val="28"/>
          <w:highlight w:val="none"/>
        </w:rPr>
        <w:t>1、产出数量指标情况分析</w:t>
      </w:r>
      <w:r>
        <w:rPr>
          <w:rFonts w:hint="eastAsia" w:ascii="黑体" w:hAnsi="Calibri" w:eastAsia="黑体" w:cs="Times New Roman"/>
          <w:sz w:val="28"/>
          <w:szCs w:val="28"/>
          <w:highlight w:val="none"/>
          <w:lang w:val="en-US" w:eastAsia="zh-CN"/>
        </w:rPr>
        <w:t>（分值</w:t>
      </w:r>
      <w:r>
        <w:rPr>
          <w:rFonts w:hint="eastAsia" w:ascii="黑体" w:eastAsia="黑体" w:cs="Times New Roman"/>
          <w:sz w:val="28"/>
          <w:szCs w:val="28"/>
          <w:highlight w:val="none"/>
          <w:lang w:val="en-US" w:eastAsia="zh-CN"/>
        </w:rPr>
        <w:t>10</w:t>
      </w:r>
      <w:r>
        <w:rPr>
          <w:rFonts w:hint="eastAsia" w:ascii="黑体" w:hAnsi="Calibri" w:eastAsia="黑体" w:cs="Times New Roman"/>
          <w:sz w:val="28"/>
          <w:szCs w:val="28"/>
          <w:highlight w:val="none"/>
          <w:lang w:val="en-US" w:eastAsia="zh-CN"/>
        </w:rPr>
        <w:t>分，得分</w:t>
      </w:r>
      <w:r>
        <w:rPr>
          <w:rFonts w:hint="eastAsia" w:ascii="黑体" w:eastAsia="黑体" w:cs="Times New Roman"/>
          <w:sz w:val="28"/>
          <w:szCs w:val="28"/>
          <w:highlight w:val="none"/>
          <w:lang w:val="en-US" w:eastAsia="zh-CN"/>
        </w:rPr>
        <w:t>8</w:t>
      </w:r>
      <w:r>
        <w:rPr>
          <w:rFonts w:hint="eastAsia" w:ascii="黑体" w:hAnsi="Calibri" w:eastAsia="黑体" w:cs="Times New Roman"/>
          <w:sz w:val="28"/>
          <w:szCs w:val="28"/>
          <w:highlight w:val="none"/>
          <w:lang w:val="en-US" w:eastAsia="zh-CN"/>
        </w:rPr>
        <w:t>分）</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0"/>
        <w:rPr>
          <w:rFonts w:hint="default" w:ascii="黑体" w:hAnsi="Calibri" w:eastAsia="黑体" w:cs="Times New Roman"/>
          <w:sz w:val="28"/>
          <w:szCs w:val="28"/>
          <w:highlight w:val="none"/>
          <w:lang w:val="en-US" w:eastAsia="zh-CN"/>
        </w:rPr>
      </w:pPr>
      <w:r>
        <w:rPr>
          <w:rFonts w:hint="default" w:ascii="黑体" w:hAnsi="Calibri" w:eastAsia="黑体" w:cs="Times New Roman"/>
          <w:sz w:val="28"/>
          <w:szCs w:val="28"/>
          <w:highlight w:val="none"/>
          <w:lang w:val="en-US" w:eastAsia="zh-CN"/>
        </w:rPr>
        <w:t>（1）享受职工医疗、居民医疗、生育保险待遇人数共计9996000人完成率</w:t>
      </w:r>
      <w:r>
        <w:rPr>
          <w:rFonts w:hint="eastAsia" w:ascii="黑体" w:eastAsia="黑体" w:cs="Times New Roman"/>
          <w:sz w:val="28"/>
          <w:szCs w:val="28"/>
          <w:highlight w:val="none"/>
          <w:lang w:val="en-US" w:eastAsia="zh-CN"/>
        </w:rPr>
        <w:t>100%</w:t>
      </w:r>
      <w:r>
        <w:rPr>
          <w:rFonts w:hint="default" w:ascii="黑体" w:hAnsi="Calibri" w:eastAsia="黑体" w:cs="Times New Roman"/>
          <w:sz w:val="28"/>
          <w:szCs w:val="28"/>
          <w:highlight w:val="none"/>
          <w:lang w:val="en-US" w:eastAsia="zh-CN"/>
        </w:rPr>
        <w:t>（分值</w:t>
      </w:r>
      <w:r>
        <w:rPr>
          <w:rFonts w:hint="eastAsia" w:ascii="黑体" w:eastAsia="黑体" w:cs="Times New Roman"/>
          <w:sz w:val="28"/>
          <w:szCs w:val="28"/>
          <w:highlight w:val="none"/>
          <w:lang w:val="en-US" w:eastAsia="zh-CN"/>
        </w:rPr>
        <w:t>4</w:t>
      </w:r>
      <w:r>
        <w:rPr>
          <w:rFonts w:hint="default" w:ascii="黑体" w:hAnsi="Calibri" w:eastAsia="黑体" w:cs="Times New Roman"/>
          <w:sz w:val="28"/>
          <w:szCs w:val="28"/>
          <w:highlight w:val="none"/>
          <w:lang w:val="en-US" w:eastAsia="zh-CN"/>
        </w:rPr>
        <w:t>分，得分</w:t>
      </w:r>
      <w:r>
        <w:rPr>
          <w:rFonts w:hint="eastAsia" w:ascii="黑体" w:eastAsia="黑体" w:cs="Times New Roman"/>
          <w:sz w:val="28"/>
          <w:szCs w:val="28"/>
          <w:highlight w:val="none"/>
          <w:lang w:val="en-US" w:eastAsia="zh-CN"/>
        </w:rPr>
        <w:t>2</w:t>
      </w:r>
      <w:r>
        <w:rPr>
          <w:rFonts w:hint="default" w:ascii="黑体" w:hAnsi="Calibri" w:eastAsia="黑体" w:cs="Times New Roman"/>
          <w:sz w:val="28"/>
          <w:szCs w:val="28"/>
          <w:highlight w:val="none"/>
          <w:lang w:val="en-US" w:eastAsia="zh-CN"/>
        </w:rPr>
        <w:t>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根据</w:t>
      </w:r>
      <w:r>
        <w:rPr>
          <w:rFonts w:hint="default" w:ascii="仿宋_GB2312" w:hAnsi="仿宋_GB2312" w:eastAsia="仿宋_GB2312" w:cs="仿宋_GB2312"/>
          <w:sz w:val="32"/>
          <w:szCs w:val="32"/>
          <w:highlight w:val="none"/>
        </w:rPr>
        <w:t>南昌市医疗保险事业管理处</w:t>
      </w:r>
      <w:r>
        <w:rPr>
          <w:rFonts w:hint="eastAsia" w:ascii="仿宋_GB2312" w:hAnsi="仿宋_GB2312" w:eastAsia="仿宋_GB2312" w:cs="仿宋_GB2312"/>
          <w:sz w:val="32"/>
          <w:szCs w:val="32"/>
          <w:highlight w:val="none"/>
          <w:lang w:val="en-US" w:eastAsia="zh-CN"/>
        </w:rPr>
        <w:t>年底工作总结</w:t>
      </w:r>
      <w:r>
        <w:rPr>
          <w:rFonts w:hint="eastAsia" w:ascii="仿宋_GB2312" w:hAnsi="仿宋_GB2312" w:eastAsia="仿宋_GB2312" w:cs="仿宋_GB2312"/>
          <w:sz w:val="32"/>
          <w:szCs w:val="32"/>
          <w:highlight w:val="none"/>
        </w:rPr>
        <w:t>汇报</w:t>
      </w:r>
      <w:r>
        <w:rPr>
          <w:rFonts w:hint="eastAsia" w:ascii="仿宋_GB2312" w:hAnsi="仿宋_GB2312" w:eastAsia="仿宋_GB2312" w:cs="仿宋_GB2312"/>
          <w:sz w:val="32"/>
          <w:szCs w:val="32"/>
          <w:highlight w:val="none"/>
          <w:lang w:val="en-US" w:eastAsia="zh-CN"/>
        </w:rPr>
        <w:t>结果显示，</w:t>
      </w:r>
      <w:r>
        <w:rPr>
          <w:rFonts w:hint="default" w:ascii="仿宋_GB2312" w:hAnsi="仿宋_GB2312" w:eastAsia="仿宋_GB2312" w:cs="仿宋_GB2312"/>
          <w:sz w:val="32"/>
          <w:szCs w:val="32"/>
          <w:highlight w:val="none"/>
          <w:lang w:val="en-US" w:eastAsia="zh-CN"/>
        </w:rPr>
        <w:t>截止2020年12月底，全市基本医疗保险参保人数为563.3万人，其中：职工医疗保险138.1万人，</w:t>
      </w:r>
      <w:r>
        <w:rPr>
          <w:rFonts w:hint="eastAsia" w:ascii="仿宋_GB2312" w:hAnsi="仿宋_GB2312" w:eastAsia="仿宋_GB2312" w:cs="仿宋_GB2312"/>
          <w:sz w:val="32"/>
          <w:szCs w:val="32"/>
          <w:highlight w:val="none"/>
          <w:lang w:val="en-US" w:eastAsia="zh-CN"/>
        </w:rPr>
        <w:t>完成率为23.13%，</w:t>
      </w:r>
      <w:r>
        <w:rPr>
          <w:rFonts w:hint="default" w:ascii="仿宋_GB2312" w:hAnsi="仿宋_GB2312" w:eastAsia="仿宋_GB2312" w:cs="仿宋_GB2312"/>
          <w:sz w:val="32"/>
          <w:szCs w:val="32"/>
          <w:highlight w:val="none"/>
          <w:lang w:val="en-US" w:eastAsia="zh-CN"/>
        </w:rPr>
        <w:t>主要是当前医保信息系统的运维费经费暂未落实，对全市参保对象和定点医药机构医保待遇结算存在一定影响。</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截止2020年12月底，居民医疗保险参保人数425.2万人（含大学生60.35万人），较好的完成了本年度年初既定目标。</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default" w:ascii="仿宋_GB2312" w:hAnsi="仿宋_GB2312" w:eastAsia="仿宋_GB2312" w:cs="仿宋_GB2312"/>
          <w:sz w:val="32"/>
          <w:szCs w:val="32"/>
          <w:highlight w:val="none"/>
          <w:lang w:val="en-US" w:eastAsia="zh-CN"/>
        </w:rPr>
        <w:t>根据全省统一部署，我市于2020年2月14日出台了《南昌市生育保险和职工基本医疗保险合并实施细则》，两限合并实施后，生育保险基金并入职工基本医疗保险基金统一征缴，较好的完成了享受生育保险待遇26000人的年初既定目标。经考核，本次得分</w:t>
      </w:r>
      <w:r>
        <w:rPr>
          <w:rFonts w:hint="eastAsia" w:ascii="仿宋_GB2312" w:hAnsi="仿宋_GB2312" w:eastAsia="仿宋_GB2312" w:cs="仿宋_GB2312"/>
          <w:sz w:val="32"/>
          <w:szCs w:val="32"/>
          <w:highlight w:val="none"/>
          <w:lang w:val="en-US" w:eastAsia="zh-CN"/>
        </w:rPr>
        <w:t>2</w:t>
      </w:r>
      <w:r>
        <w:rPr>
          <w:rFonts w:hint="default" w:ascii="仿宋_GB2312" w:hAnsi="仿宋_GB2312" w:eastAsia="仿宋_GB2312" w:cs="仿宋_GB2312"/>
          <w:sz w:val="32"/>
          <w:szCs w:val="32"/>
          <w:highlight w:val="none"/>
          <w:lang w:val="en-US" w:eastAsia="zh-CN"/>
        </w:rPr>
        <w:t>分</w:t>
      </w:r>
      <w:r>
        <w:rPr>
          <w:rFonts w:hint="eastAsia" w:ascii="仿宋_GB2312" w:hAnsi="仿宋_GB2312" w:eastAsia="仿宋_GB2312" w:cs="仿宋_GB2312"/>
          <w:sz w:val="32"/>
          <w:szCs w:val="32"/>
          <w:highlight w:val="none"/>
          <w:lang w:val="en-US" w:eastAsia="zh-CN"/>
        </w:rPr>
        <w:t>，扣2分</w:t>
      </w:r>
      <w:r>
        <w:rPr>
          <w:rFonts w:hint="default" w:ascii="仿宋_GB2312" w:hAnsi="仿宋_GB2312" w:eastAsia="仿宋_GB2312" w:cs="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0"/>
        <w:rPr>
          <w:rFonts w:hint="default" w:ascii="黑体" w:hAnsi="Calibri" w:eastAsia="黑体" w:cs="Times New Roman"/>
          <w:sz w:val="28"/>
          <w:szCs w:val="28"/>
          <w:highlight w:val="none"/>
          <w:lang w:val="en-US" w:eastAsia="zh-CN"/>
        </w:rPr>
      </w:pPr>
      <w:r>
        <w:rPr>
          <w:rFonts w:hint="default" w:ascii="黑体" w:hAnsi="Calibri" w:eastAsia="黑体" w:cs="Times New Roman"/>
          <w:sz w:val="28"/>
          <w:szCs w:val="28"/>
          <w:highlight w:val="none"/>
          <w:lang w:val="en-US" w:eastAsia="zh-CN"/>
        </w:rPr>
        <w:t>（</w:t>
      </w:r>
      <w:r>
        <w:rPr>
          <w:rFonts w:hint="eastAsia" w:ascii="黑体" w:eastAsia="黑体" w:cs="Times New Roman"/>
          <w:sz w:val="28"/>
          <w:szCs w:val="28"/>
          <w:highlight w:val="none"/>
          <w:lang w:val="en-US" w:eastAsia="zh-CN"/>
        </w:rPr>
        <w:t>2</w:t>
      </w:r>
      <w:r>
        <w:rPr>
          <w:rFonts w:hint="default" w:ascii="黑体" w:hAnsi="Calibri" w:eastAsia="黑体" w:cs="Times New Roman"/>
          <w:sz w:val="28"/>
          <w:szCs w:val="28"/>
          <w:highlight w:val="none"/>
          <w:lang w:val="en-US" w:eastAsia="zh-CN"/>
        </w:rPr>
        <w:t>）医疗保险等业务宣传4次</w:t>
      </w:r>
      <w:r>
        <w:rPr>
          <w:rFonts w:hint="eastAsia" w:ascii="黑体" w:eastAsia="黑体" w:cs="Times New Roman"/>
          <w:sz w:val="28"/>
          <w:szCs w:val="28"/>
          <w:highlight w:val="none"/>
          <w:lang w:val="en-US" w:eastAsia="zh-CN"/>
        </w:rPr>
        <w:t>完成率100%</w:t>
      </w:r>
      <w:r>
        <w:rPr>
          <w:rFonts w:hint="default" w:ascii="黑体" w:hAnsi="Calibri" w:eastAsia="黑体" w:cs="Times New Roman"/>
          <w:sz w:val="28"/>
          <w:szCs w:val="28"/>
          <w:highlight w:val="none"/>
          <w:lang w:val="en-US" w:eastAsia="zh-CN"/>
        </w:rPr>
        <w:t>（分值</w:t>
      </w:r>
      <w:r>
        <w:rPr>
          <w:rFonts w:hint="eastAsia" w:ascii="黑体" w:eastAsia="黑体" w:cs="Times New Roman"/>
          <w:sz w:val="28"/>
          <w:szCs w:val="28"/>
          <w:highlight w:val="none"/>
          <w:lang w:val="en-US" w:eastAsia="zh-CN"/>
        </w:rPr>
        <w:t>3</w:t>
      </w:r>
      <w:r>
        <w:rPr>
          <w:rFonts w:hint="default" w:ascii="黑体" w:hAnsi="Calibri" w:eastAsia="黑体" w:cs="Times New Roman"/>
          <w:sz w:val="28"/>
          <w:szCs w:val="28"/>
          <w:highlight w:val="none"/>
          <w:lang w:val="en-US" w:eastAsia="zh-CN"/>
        </w:rPr>
        <w:t>分，得分</w:t>
      </w:r>
      <w:r>
        <w:rPr>
          <w:rFonts w:hint="eastAsia" w:ascii="黑体" w:eastAsia="黑体" w:cs="Times New Roman"/>
          <w:sz w:val="28"/>
          <w:szCs w:val="28"/>
          <w:highlight w:val="none"/>
          <w:lang w:val="en-US" w:eastAsia="zh-CN"/>
        </w:rPr>
        <w:t>3</w:t>
      </w:r>
      <w:r>
        <w:rPr>
          <w:rFonts w:hint="default" w:ascii="黑体" w:hAnsi="Calibri" w:eastAsia="黑体" w:cs="Times New Roman"/>
          <w:sz w:val="28"/>
          <w:szCs w:val="28"/>
          <w:highlight w:val="none"/>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default" w:ascii="仿宋_GB2312" w:hAnsi="仿宋_GB2312" w:eastAsia="仿宋_GB2312" w:cs="仿宋_GB2312"/>
          <w:sz w:val="32"/>
          <w:szCs w:val="32"/>
          <w:highlight w:val="none"/>
          <w:lang w:val="en-US" w:eastAsia="zh-CN"/>
        </w:rPr>
        <w:t>为广大市民能够较好的了解医保保险等业务的相关信息，根据</w:t>
      </w:r>
      <w:r>
        <w:rPr>
          <w:rFonts w:hint="default" w:ascii="仿宋_GB2312" w:hAnsi="仿宋_GB2312" w:eastAsia="仿宋_GB2312" w:cs="仿宋_GB2312"/>
          <w:sz w:val="32"/>
          <w:szCs w:val="32"/>
          <w:highlight w:val="none"/>
        </w:rPr>
        <w:t>南昌市医疗保险事业管理处</w:t>
      </w:r>
      <w:r>
        <w:rPr>
          <w:rFonts w:hint="default" w:ascii="仿宋_GB2312" w:hAnsi="仿宋_GB2312" w:eastAsia="仿宋_GB2312" w:cs="仿宋_GB2312"/>
          <w:sz w:val="32"/>
          <w:szCs w:val="32"/>
          <w:highlight w:val="none"/>
          <w:lang w:val="en-US" w:eastAsia="zh-CN"/>
        </w:rPr>
        <w:t>年底工作总结汇报结果显示，本年度对相关的业务宣传不少于4次，得到了广大市民的一致好评。经考核，本次得分</w:t>
      </w:r>
      <w:r>
        <w:rPr>
          <w:rFonts w:hint="eastAsia" w:ascii="仿宋_GB2312" w:hAnsi="仿宋_GB2312" w:eastAsia="仿宋_GB2312" w:cs="仿宋_GB2312"/>
          <w:sz w:val="32"/>
          <w:szCs w:val="32"/>
          <w:highlight w:val="none"/>
          <w:lang w:val="en-US" w:eastAsia="zh-CN"/>
        </w:rPr>
        <w:t>3</w:t>
      </w:r>
      <w:r>
        <w:rPr>
          <w:rFonts w:hint="default" w:ascii="仿宋_GB2312" w:hAnsi="仿宋_GB2312" w:eastAsia="仿宋_GB2312" w:cs="仿宋_GB2312"/>
          <w:sz w:val="32"/>
          <w:szCs w:val="32"/>
          <w:highlight w:val="none"/>
          <w:lang w:val="en-US" w:eastAsia="zh-CN"/>
        </w:rPr>
        <w:t>分。</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0"/>
        <w:rPr>
          <w:rFonts w:hint="default" w:ascii="黑体" w:hAnsi="Calibri" w:eastAsia="黑体" w:cs="Times New Roman"/>
          <w:sz w:val="28"/>
          <w:szCs w:val="28"/>
          <w:highlight w:val="none"/>
          <w:lang w:val="en-US" w:eastAsia="zh-CN"/>
        </w:rPr>
      </w:pPr>
      <w:r>
        <w:rPr>
          <w:rFonts w:hint="default" w:ascii="黑体" w:hAnsi="Calibri" w:eastAsia="黑体" w:cs="Times New Roman"/>
          <w:sz w:val="28"/>
          <w:szCs w:val="28"/>
          <w:highlight w:val="none"/>
          <w:lang w:val="en-US" w:eastAsia="zh-CN"/>
        </w:rPr>
        <w:t>（</w:t>
      </w:r>
      <w:r>
        <w:rPr>
          <w:rFonts w:hint="eastAsia" w:ascii="黑体" w:eastAsia="黑体" w:cs="Times New Roman"/>
          <w:sz w:val="28"/>
          <w:szCs w:val="28"/>
          <w:highlight w:val="none"/>
          <w:lang w:val="en-US" w:eastAsia="zh-CN"/>
        </w:rPr>
        <w:t>3</w:t>
      </w:r>
      <w:r>
        <w:rPr>
          <w:rFonts w:hint="default" w:ascii="黑体" w:hAnsi="Calibri" w:eastAsia="黑体" w:cs="Times New Roman"/>
          <w:sz w:val="28"/>
          <w:szCs w:val="28"/>
          <w:highlight w:val="none"/>
          <w:lang w:val="en-US" w:eastAsia="zh-CN"/>
        </w:rPr>
        <w:t>）举办医疗保险会议3次</w:t>
      </w:r>
      <w:r>
        <w:rPr>
          <w:rFonts w:hint="eastAsia" w:ascii="黑体" w:eastAsia="黑体" w:cs="Times New Roman"/>
          <w:sz w:val="28"/>
          <w:szCs w:val="28"/>
          <w:highlight w:val="none"/>
          <w:lang w:val="en-US" w:eastAsia="zh-CN"/>
        </w:rPr>
        <w:t>完成率100%</w:t>
      </w:r>
      <w:r>
        <w:rPr>
          <w:rFonts w:hint="default" w:ascii="黑体" w:hAnsi="Calibri" w:eastAsia="黑体" w:cs="Times New Roman"/>
          <w:sz w:val="28"/>
          <w:szCs w:val="28"/>
          <w:highlight w:val="none"/>
          <w:lang w:val="en-US" w:eastAsia="zh-CN"/>
        </w:rPr>
        <w:t>（分值</w:t>
      </w:r>
      <w:r>
        <w:rPr>
          <w:rFonts w:hint="eastAsia" w:ascii="黑体" w:eastAsia="黑体" w:cs="Times New Roman"/>
          <w:sz w:val="28"/>
          <w:szCs w:val="28"/>
          <w:highlight w:val="none"/>
          <w:lang w:val="en-US" w:eastAsia="zh-CN"/>
        </w:rPr>
        <w:t>1</w:t>
      </w:r>
      <w:r>
        <w:rPr>
          <w:rFonts w:hint="default" w:ascii="黑体" w:hAnsi="Calibri" w:eastAsia="黑体" w:cs="Times New Roman"/>
          <w:sz w:val="28"/>
          <w:szCs w:val="28"/>
          <w:highlight w:val="none"/>
          <w:lang w:val="en-US" w:eastAsia="zh-CN"/>
        </w:rPr>
        <w:t>分，得分</w:t>
      </w:r>
      <w:r>
        <w:rPr>
          <w:rFonts w:hint="eastAsia" w:ascii="黑体" w:eastAsia="黑体" w:cs="Times New Roman"/>
          <w:sz w:val="28"/>
          <w:szCs w:val="28"/>
          <w:highlight w:val="none"/>
          <w:lang w:val="en-US" w:eastAsia="zh-CN"/>
        </w:rPr>
        <w:t>1</w:t>
      </w:r>
      <w:r>
        <w:rPr>
          <w:rFonts w:hint="default" w:ascii="黑体" w:hAnsi="Calibri" w:eastAsia="黑体" w:cs="Times New Roman"/>
          <w:sz w:val="28"/>
          <w:szCs w:val="28"/>
          <w:highlight w:val="none"/>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default" w:ascii="仿宋_GB2312" w:hAnsi="仿宋_GB2312" w:eastAsia="仿宋_GB2312" w:cs="仿宋_GB2312"/>
          <w:sz w:val="32"/>
          <w:szCs w:val="32"/>
          <w:highlight w:val="none"/>
          <w:lang w:val="en-US" w:eastAsia="zh-CN"/>
        </w:rPr>
        <w:t>为保障参保群众办理业务更加高效、便捷，</w:t>
      </w:r>
      <w:r>
        <w:rPr>
          <w:rFonts w:hint="default" w:ascii="仿宋_GB2312" w:hAnsi="仿宋_GB2312" w:eastAsia="仿宋_GB2312" w:cs="仿宋_GB2312"/>
          <w:sz w:val="32"/>
          <w:szCs w:val="32"/>
          <w:highlight w:val="none"/>
        </w:rPr>
        <w:t>南昌市医疗保险事业管理处</w:t>
      </w:r>
      <w:r>
        <w:rPr>
          <w:rFonts w:hint="default" w:ascii="仿宋_GB2312" w:hAnsi="仿宋_GB2312" w:eastAsia="仿宋_GB2312" w:cs="仿宋_GB2312"/>
          <w:sz w:val="32"/>
          <w:szCs w:val="32"/>
          <w:highlight w:val="none"/>
          <w:lang w:val="en-US" w:eastAsia="zh-CN"/>
        </w:rPr>
        <w:t>举办医疗保险相关会议不少于3次，我市提出并倡导“让数据多跑路，群众少跑腿”的号召，同时也顺应时代发展、提高业务经办效率，我市推出了南昌“智慧医保APP”软件平台。经考核，本次得分</w:t>
      </w:r>
      <w:r>
        <w:rPr>
          <w:rFonts w:hint="eastAsia" w:ascii="仿宋_GB2312" w:hAnsi="仿宋_GB2312" w:eastAsia="仿宋_GB2312" w:cs="仿宋_GB2312"/>
          <w:sz w:val="32"/>
          <w:szCs w:val="32"/>
          <w:highlight w:val="none"/>
          <w:lang w:val="en-US" w:eastAsia="zh-CN"/>
        </w:rPr>
        <w:t>1</w:t>
      </w:r>
      <w:r>
        <w:rPr>
          <w:rFonts w:hint="default" w:ascii="仿宋_GB2312" w:hAnsi="仿宋_GB2312" w:eastAsia="仿宋_GB2312" w:cs="仿宋_GB2312"/>
          <w:sz w:val="32"/>
          <w:szCs w:val="32"/>
          <w:highlight w:val="none"/>
          <w:lang w:val="en-US" w:eastAsia="zh-CN"/>
        </w:rPr>
        <w:t>分。</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0"/>
        <w:rPr>
          <w:rFonts w:hint="default" w:ascii="黑体" w:hAnsi="Calibri" w:eastAsia="黑体" w:cs="Times New Roman"/>
          <w:sz w:val="28"/>
          <w:szCs w:val="28"/>
          <w:highlight w:val="none"/>
          <w:lang w:val="en-US" w:eastAsia="zh-CN"/>
        </w:rPr>
      </w:pPr>
      <w:r>
        <w:rPr>
          <w:rFonts w:hint="default" w:ascii="黑体" w:hAnsi="Calibri" w:eastAsia="黑体" w:cs="Times New Roman"/>
          <w:sz w:val="28"/>
          <w:szCs w:val="28"/>
          <w:highlight w:val="none"/>
          <w:lang w:val="en-US" w:eastAsia="zh-CN"/>
        </w:rPr>
        <w:t>（</w:t>
      </w:r>
      <w:r>
        <w:rPr>
          <w:rFonts w:hint="eastAsia" w:ascii="黑体" w:eastAsia="黑体" w:cs="Times New Roman"/>
          <w:sz w:val="28"/>
          <w:szCs w:val="28"/>
          <w:highlight w:val="none"/>
          <w:lang w:val="en-US" w:eastAsia="zh-CN"/>
        </w:rPr>
        <w:t>4</w:t>
      </w:r>
      <w:r>
        <w:rPr>
          <w:rFonts w:hint="default" w:ascii="黑体" w:hAnsi="Calibri" w:eastAsia="黑体" w:cs="Times New Roman"/>
          <w:sz w:val="28"/>
          <w:szCs w:val="28"/>
          <w:highlight w:val="none"/>
          <w:lang w:val="en-US" w:eastAsia="zh-CN"/>
        </w:rPr>
        <w:t>）转移业务邮寄单据数10000件</w:t>
      </w:r>
      <w:r>
        <w:rPr>
          <w:rFonts w:hint="eastAsia" w:ascii="黑体" w:eastAsia="黑体" w:cs="Times New Roman"/>
          <w:sz w:val="28"/>
          <w:szCs w:val="28"/>
          <w:highlight w:val="none"/>
          <w:lang w:val="en-US" w:eastAsia="zh-CN"/>
        </w:rPr>
        <w:t>完成率100%</w:t>
      </w:r>
      <w:r>
        <w:rPr>
          <w:rFonts w:hint="default" w:ascii="黑体" w:hAnsi="Calibri" w:eastAsia="黑体" w:cs="Times New Roman"/>
          <w:sz w:val="28"/>
          <w:szCs w:val="28"/>
          <w:highlight w:val="none"/>
          <w:lang w:val="en-US" w:eastAsia="zh-CN"/>
        </w:rPr>
        <w:t>（分值</w:t>
      </w:r>
      <w:r>
        <w:rPr>
          <w:rFonts w:hint="eastAsia" w:ascii="黑体" w:eastAsia="黑体" w:cs="Times New Roman"/>
          <w:sz w:val="28"/>
          <w:szCs w:val="28"/>
          <w:highlight w:val="none"/>
          <w:lang w:val="en-US" w:eastAsia="zh-CN"/>
        </w:rPr>
        <w:t>2</w:t>
      </w:r>
      <w:r>
        <w:rPr>
          <w:rFonts w:hint="default" w:ascii="黑体" w:hAnsi="Calibri" w:eastAsia="黑体" w:cs="Times New Roman"/>
          <w:sz w:val="28"/>
          <w:szCs w:val="28"/>
          <w:highlight w:val="none"/>
          <w:lang w:val="en-US" w:eastAsia="zh-CN"/>
        </w:rPr>
        <w:t>分，得分</w:t>
      </w:r>
      <w:r>
        <w:rPr>
          <w:rFonts w:hint="eastAsia" w:ascii="黑体" w:eastAsia="黑体" w:cs="Times New Roman"/>
          <w:sz w:val="28"/>
          <w:szCs w:val="28"/>
          <w:highlight w:val="none"/>
          <w:lang w:val="en-US" w:eastAsia="zh-CN"/>
        </w:rPr>
        <w:t>2</w:t>
      </w:r>
      <w:r>
        <w:rPr>
          <w:rFonts w:hint="default" w:ascii="黑体" w:hAnsi="Calibri" w:eastAsia="黑体" w:cs="Times New Roman"/>
          <w:sz w:val="28"/>
          <w:szCs w:val="28"/>
          <w:highlight w:val="none"/>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default" w:ascii="仿宋_GB2312" w:hAnsi="仿宋_GB2312" w:eastAsia="仿宋_GB2312" w:cs="仿宋_GB2312"/>
          <w:sz w:val="32"/>
          <w:szCs w:val="32"/>
          <w:highlight w:val="none"/>
          <w:lang w:val="en-US" w:eastAsia="zh-CN"/>
        </w:rPr>
        <w:t>根据机构改革要求和市医疗保障局安排部署，与市社保中心，东软公司对接做好医保业务移交工作，完成转移业务邮寄单据数10000件。经考核，本次得分</w:t>
      </w:r>
      <w:r>
        <w:rPr>
          <w:rFonts w:hint="eastAsia" w:ascii="仿宋_GB2312" w:hAnsi="仿宋_GB2312" w:eastAsia="仿宋_GB2312" w:cs="仿宋_GB2312"/>
          <w:sz w:val="32"/>
          <w:szCs w:val="32"/>
          <w:highlight w:val="none"/>
          <w:lang w:val="en-US" w:eastAsia="zh-CN"/>
        </w:rPr>
        <w:t>2</w:t>
      </w:r>
      <w:r>
        <w:rPr>
          <w:rFonts w:hint="default" w:ascii="仿宋_GB2312" w:hAnsi="仿宋_GB2312" w:eastAsia="仿宋_GB2312" w:cs="仿宋_GB2312"/>
          <w:sz w:val="32"/>
          <w:szCs w:val="32"/>
          <w:highlight w:val="none"/>
          <w:lang w:val="en-US" w:eastAsia="zh-CN"/>
        </w:rPr>
        <w:t>分。</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0"/>
        <w:rPr>
          <w:rFonts w:hint="eastAsia" w:ascii="黑体" w:hAnsi="Calibri" w:eastAsia="黑体" w:cs="Times New Roman"/>
          <w:sz w:val="28"/>
          <w:szCs w:val="28"/>
          <w:highlight w:val="none"/>
          <w:lang w:val="en-US" w:eastAsia="zh-CN"/>
        </w:rPr>
      </w:pPr>
      <w:r>
        <w:rPr>
          <w:rFonts w:hint="eastAsia" w:ascii="黑体" w:hAnsi="Calibri" w:eastAsia="黑体" w:cs="Times New Roman"/>
          <w:sz w:val="28"/>
          <w:szCs w:val="28"/>
          <w:highlight w:val="none"/>
          <w:lang w:val="en-US" w:eastAsia="zh-CN"/>
        </w:rPr>
        <w:t>2、产出质量指标情况分析（分值</w:t>
      </w:r>
      <w:r>
        <w:rPr>
          <w:rFonts w:hint="eastAsia" w:ascii="黑体" w:eastAsia="黑体" w:cs="Times New Roman"/>
          <w:sz w:val="28"/>
          <w:szCs w:val="28"/>
          <w:highlight w:val="none"/>
          <w:lang w:val="en-US" w:eastAsia="zh-CN"/>
        </w:rPr>
        <w:t>10</w:t>
      </w:r>
      <w:r>
        <w:rPr>
          <w:rFonts w:hint="eastAsia" w:ascii="黑体" w:hAnsi="Calibri" w:eastAsia="黑体" w:cs="Times New Roman"/>
          <w:sz w:val="28"/>
          <w:szCs w:val="28"/>
          <w:highlight w:val="none"/>
          <w:lang w:val="en-US" w:eastAsia="zh-CN"/>
        </w:rPr>
        <w:t>分，得分</w:t>
      </w:r>
      <w:r>
        <w:rPr>
          <w:rFonts w:hint="eastAsia" w:ascii="黑体" w:eastAsia="黑体" w:cs="Times New Roman"/>
          <w:sz w:val="28"/>
          <w:szCs w:val="28"/>
          <w:highlight w:val="none"/>
          <w:lang w:val="en-US" w:eastAsia="zh-CN"/>
        </w:rPr>
        <w:t>10</w:t>
      </w:r>
      <w:r>
        <w:rPr>
          <w:rFonts w:hint="eastAsia" w:ascii="黑体" w:hAnsi="Calibri" w:eastAsia="黑体" w:cs="Times New Roman"/>
          <w:sz w:val="28"/>
          <w:szCs w:val="28"/>
          <w:highlight w:val="none"/>
          <w:lang w:val="en-US" w:eastAsia="zh-CN"/>
        </w:rPr>
        <w:t>分）</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黑体" w:hAnsi="Calibri" w:eastAsia="黑体" w:cs="Times New Roman"/>
          <w:kern w:val="2"/>
          <w:sz w:val="28"/>
          <w:szCs w:val="28"/>
          <w:highlight w:val="none"/>
          <w:lang w:val="en-US" w:eastAsia="zh-CN" w:bidi="ar-SA"/>
        </w:rPr>
      </w:pPr>
      <w:r>
        <w:rPr>
          <w:rFonts w:hint="default" w:ascii="黑体" w:hAnsi="Calibri" w:eastAsia="黑体" w:cs="Times New Roman"/>
          <w:kern w:val="2"/>
          <w:sz w:val="28"/>
          <w:szCs w:val="28"/>
          <w:highlight w:val="none"/>
          <w:lang w:val="en-US" w:eastAsia="zh-CN" w:bidi="ar-SA"/>
        </w:rPr>
        <w:t>（1）待遇发放合规率100%（分值</w:t>
      </w:r>
      <w:r>
        <w:rPr>
          <w:rFonts w:hint="eastAsia" w:ascii="黑体" w:eastAsia="黑体" w:cs="Times New Roman"/>
          <w:kern w:val="2"/>
          <w:sz w:val="28"/>
          <w:szCs w:val="28"/>
          <w:highlight w:val="none"/>
          <w:lang w:val="en-US" w:eastAsia="zh-CN" w:bidi="ar-SA"/>
        </w:rPr>
        <w:t>4</w:t>
      </w:r>
      <w:r>
        <w:rPr>
          <w:rFonts w:hint="default" w:ascii="黑体" w:hAnsi="Calibri" w:eastAsia="黑体" w:cs="Times New Roman"/>
          <w:kern w:val="2"/>
          <w:sz w:val="28"/>
          <w:szCs w:val="28"/>
          <w:highlight w:val="none"/>
          <w:lang w:val="en-US" w:eastAsia="zh-CN" w:bidi="ar-SA"/>
        </w:rPr>
        <w:t>分，得分</w:t>
      </w:r>
      <w:r>
        <w:rPr>
          <w:rFonts w:hint="eastAsia" w:ascii="黑体" w:eastAsia="黑体" w:cs="Times New Roman"/>
          <w:kern w:val="2"/>
          <w:sz w:val="28"/>
          <w:szCs w:val="28"/>
          <w:highlight w:val="none"/>
          <w:lang w:val="en-US" w:eastAsia="zh-CN" w:bidi="ar-SA"/>
        </w:rPr>
        <w:t>4</w:t>
      </w:r>
      <w:r>
        <w:rPr>
          <w:rFonts w:hint="default" w:ascii="黑体" w:hAnsi="Calibri" w:eastAsia="黑体" w:cs="Times New Roman"/>
          <w:kern w:val="2"/>
          <w:sz w:val="28"/>
          <w:szCs w:val="28"/>
          <w:highlight w:val="none"/>
          <w:lang w:val="en-US" w:eastAsia="zh-CN" w:bidi="ar-SA"/>
        </w:rPr>
        <w:t>分）</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default" w:ascii="仿宋_GB2312" w:hAnsi="仿宋_GB2312" w:eastAsia="仿宋_GB2312" w:cs="仿宋_GB2312"/>
          <w:kern w:val="2"/>
          <w:sz w:val="32"/>
          <w:szCs w:val="32"/>
          <w:highlight w:val="none"/>
          <w:lang w:val="en-US" w:eastAsia="zh-CN" w:bidi="ar-SA"/>
        </w:rPr>
        <w:t>在2020年度期间，南昌市医疗保险事业管理处均按照相关文件、政策规定发放医疗保险待遇，如根据市医保局市财政局等部门联合转发《江西省医疗保障局 江西省财政厅 国家税务总局江西省税务局关于阶段性减征企业职工基本医疗保险费的通知》要求，我市对企业缴纳的职工医保单位缴费部分实行三个月的减半征收，医疗保险（含生育）缴费比例企业部分由原来的6.5%降至3.25%，减征期限为3个月，即该指标为100%。</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default" w:ascii="仿宋_GB2312" w:hAnsi="仿宋_GB2312" w:eastAsia="仿宋_GB2312" w:cs="仿宋_GB2312"/>
          <w:kern w:val="2"/>
          <w:sz w:val="32"/>
          <w:szCs w:val="32"/>
          <w:highlight w:val="none"/>
          <w:lang w:val="en-US" w:eastAsia="zh-CN" w:bidi="ar-SA"/>
        </w:rPr>
        <w:t>在2020年度期间，南昌市医疗保险事业管理处均按照相关文件、政策规定发放居民医疗保险待遇，即该指标为100%。</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default" w:ascii="仿宋_GB2312" w:hAnsi="仿宋_GB2312" w:eastAsia="仿宋_GB2312" w:cs="仿宋_GB2312"/>
          <w:kern w:val="2"/>
          <w:sz w:val="32"/>
          <w:szCs w:val="32"/>
          <w:highlight w:val="none"/>
          <w:lang w:val="en-US" w:eastAsia="zh-CN" w:bidi="ar-SA"/>
        </w:rPr>
        <w:t>根据全省统一部署，我市于2020年2月14日出台了《南昌市生育保险和职工基本医疗保险合并实施细则》，两限合并实施后，生育保险基金并入职工基本医疗保险基金统一征缴，即该指标为100%</w:t>
      </w:r>
      <w:r>
        <w:rPr>
          <w:rFonts w:hint="eastAsia" w:ascii="仿宋_GB2312" w:hAnsi="仿宋_GB2312" w:eastAsia="仿宋_GB2312" w:cs="仿宋_GB2312"/>
          <w:kern w:val="2"/>
          <w:sz w:val="32"/>
          <w:szCs w:val="32"/>
          <w:highlight w:val="none"/>
          <w:lang w:val="en-US" w:eastAsia="zh-CN" w:bidi="ar-SA"/>
        </w:rPr>
        <w:t>。</w:t>
      </w:r>
      <w:r>
        <w:rPr>
          <w:rFonts w:hint="default" w:ascii="仿宋_GB2312" w:hAnsi="仿宋_GB2312" w:eastAsia="仿宋_GB2312" w:cs="仿宋_GB2312"/>
          <w:kern w:val="2"/>
          <w:sz w:val="32"/>
          <w:szCs w:val="32"/>
          <w:highlight w:val="none"/>
          <w:lang w:val="en-US" w:eastAsia="zh-CN" w:bidi="ar-SA"/>
        </w:rPr>
        <w:t>经考核，本次得分</w:t>
      </w:r>
      <w:r>
        <w:rPr>
          <w:rFonts w:hint="eastAsia" w:ascii="仿宋_GB2312" w:hAnsi="仿宋_GB2312" w:eastAsia="仿宋_GB2312" w:cs="仿宋_GB2312"/>
          <w:kern w:val="2"/>
          <w:sz w:val="32"/>
          <w:szCs w:val="32"/>
          <w:highlight w:val="none"/>
          <w:lang w:val="en-US" w:eastAsia="zh-CN" w:bidi="ar-SA"/>
        </w:rPr>
        <w:t>4</w:t>
      </w:r>
      <w:r>
        <w:rPr>
          <w:rFonts w:hint="default" w:ascii="仿宋_GB2312" w:hAnsi="仿宋_GB2312" w:eastAsia="仿宋_GB2312" w:cs="仿宋_GB2312"/>
          <w:kern w:val="2"/>
          <w:sz w:val="32"/>
          <w:szCs w:val="32"/>
          <w:highlight w:val="none"/>
          <w:lang w:val="en-US" w:eastAsia="zh-CN" w:bidi="ar-SA"/>
        </w:rPr>
        <w:t>分。</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黑体" w:hAnsi="Calibri" w:eastAsia="黑体" w:cs="Times New Roman"/>
          <w:kern w:val="2"/>
          <w:sz w:val="28"/>
          <w:szCs w:val="28"/>
          <w:highlight w:val="none"/>
          <w:lang w:val="en-US" w:eastAsia="zh-CN" w:bidi="ar-SA"/>
        </w:rPr>
      </w:pPr>
      <w:r>
        <w:rPr>
          <w:rFonts w:hint="default" w:ascii="黑体" w:hAnsi="Calibri" w:eastAsia="黑体" w:cs="Times New Roman"/>
          <w:kern w:val="2"/>
          <w:sz w:val="28"/>
          <w:szCs w:val="28"/>
          <w:highlight w:val="none"/>
          <w:lang w:val="en-US" w:eastAsia="zh-CN" w:bidi="ar-SA"/>
        </w:rPr>
        <w:t>（</w:t>
      </w:r>
      <w:r>
        <w:rPr>
          <w:rFonts w:hint="eastAsia" w:ascii="黑体" w:eastAsia="黑体" w:cs="Times New Roman"/>
          <w:kern w:val="2"/>
          <w:sz w:val="28"/>
          <w:szCs w:val="28"/>
          <w:highlight w:val="none"/>
          <w:lang w:val="en-US" w:eastAsia="zh-CN" w:bidi="ar-SA"/>
        </w:rPr>
        <w:t>2</w:t>
      </w:r>
      <w:r>
        <w:rPr>
          <w:rFonts w:hint="default" w:ascii="黑体" w:hAnsi="Calibri" w:eastAsia="黑体" w:cs="Times New Roman"/>
          <w:kern w:val="2"/>
          <w:sz w:val="28"/>
          <w:szCs w:val="28"/>
          <w:highlight w:val="none"/>
          <w:lang w:val="en-US" w:eastAsia="zh-CN" w:bidi="ar-SA"/>
        </w:rPr>
        <w:t>）业务宣传率100%（分值</w:t>
      </w:r>
      <w:r>
        <w:rPr>
          <w:rFonts w:hint="eastAsia" w:ascii="黑体" w:eastAsia="黑体" w:cs="Times New Roman"/>
          <w:kern w:val="2"/>
          <w:sz w:val="28"/>
          <w:szCs w:val="28"/>
          <w:highlight w:val="none"/>
          <w:lang w:val="en-US" w:eastAsia="zh-CN" w:bidi="ar-SA"/>
        </w:rPr>
        <w:t>3</w:t>
      </w:r>
      <w:r>
        <w:rPr>
          <w:rFonts w:hint="default" w:ascii="黑体" w:hAnsi="Calibri" w:eastAsia="黑体" w:cs="Times New Roman"/>
          <w:kern w:val="2"/>
          <w:sz w:val="28"/>
          <w:szCs w:val="28"/>
          <w:highlight w:val="none"/>
          <w:lang w:val="en-US" w:eastAsia="zh-CN" w:bidi="ar-SA"/>
        </w:rPr>
        <w:t>分，得分</w:t>
      </w:r>
      <w:r>
        <w:rPr>
          <w:rFonts w:hint="eastAsia" w:ascii="黑体" w:eastAsia="黑体" w:cs="Times New Roman"/>
          <w:kern w:val="2"/>
          <w:sz w:val="28"/>
          <w:szCs w:val="28"/>
          <w:highlight w:val="none"/>
          <w:lang w:val="en-US" w:eastAsia="zh-CN" w:bidi="ar-SA"/>
        </w:rPr>
        <w:t>3</w:t>
      </w:r>
      <w:r>
        <w:rPr>
          <w:rFonts w:hint="default" w:ascii="黑体" w:hAnsi="Calibri" w:eastAsia="黑体" w:cs="Times New Roman"/>
          <w:kern w:val="2"/>
          <w:sz w:val="28"/>
          <w:szCs w:val="28"/>
          <w:highlight w:val="none"/>
          <w:lang w:val="en-US" w:eastAsia="zh-CN" w:bidi="ar-SA"/>
        </w:rPr>
        <w:t>分）</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default" w:ascii="仿宋_GB2312" w:hAnsi="仿宋_GB2312" w:eastAsia="仿宋_GB2312" w:cs="仿宋_GB2312"/>
          <w:kern w:val="2"/>
          <w:sz w:val="32"/>
          <w:szCs w:val="32"/>
          <w:highlight w:val="none"/>
          <w:lang w:val="en-US" w:eastAsia="zh-CN" w:bidi="ar-SA"/>
        </w:rPr>
        <w:t>南昌市医疗保险事业管理处对相关的业务进行宣传，使市民了解了医保保险等与之相关的信息，得到了广大市民的一致好评，即该指标为100%，经考核，本次得分</w:t>
      </w:r>
      <w:r>
        <w:rPr>
          <w:rFonts w:hint="eastAsia" w:ascii="仿宋_GB2312" w:hAnsi="仿宋_GB2312" w:eastAsia="仿宋_GB2312" w:cs="仿宋_GB2312"/>
          <w:kern w:val="2"/>
          <w:sz w:val="32"/>
          <w:szCs w:val="32"/>
          <w:highlight w:val="none"/>
          <w:lang w:val="en-US" w:eastAsia="zh-CN" w:bidi="ar-SA"/>
        </w:rPr>
        <w:t>3</w:t>
      </w:r>
      <w:r>
        <w:rPr>
          <w:rFonts w:hint="default" w:ascii="仿宋_GB2312" w:hAnsi="仿宋_GB2312" w:eastAsia="仿宋_GB2312" w:cs="仿宋_GB2312"/>
          <w:kern w:val="2"/>
          <w:sz w:val="32"/>
          <w:szCs w:val="32"/>
          <w:highlight w:val="none"/>
          <w:lang w:val="en-US" w:eastAsia="zh-CN" w:bidi="ar-SA"/>
        </w:rPr>
        <w:t>分。</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黑体" w:hAnsi="Calibri" w:eastAsia="黑体" w:cs="Times New Roman"/>
          <w:kern w:val="2"/>
          <w:sz w:val="28"/>
          <w:szCs w:val="28"/>
          <w:highlight w:val="none"/>
          <w:lang w:val="en-US" w:eastAsia="zh-CN" w:bidi="ar-SA"/>
        </w:rPr>
      </w:pPr>
      <w:r>
        <w:rPr>
          <w:rFonts w:hint="default" w:ascii="黑体" w:hAnsi="Calibri" w:eastAsia="黑体" w:cs="Times New Roman"/>
          <w:kern w:val="2"/>
          <w:sz w:val="28"/>
          <w:szCs w:val="28"/>
          <w:highlight w:val="none"/>
          <w:lang w:val="en-US" w:eastAsia="zh-CN" w:bidi="ar-SA"/>
        </w:rPr>
        <w:t>（</w:t>
      </w:r>
      <w:r>
        <w:rPr>
          <w:rFonts w:hint="eastAsia" w:ascii="黑体" w:eastAsia="黑体" w:cs="Times New Roman"/>
          <w:kern w:val="2"/>
          <w:sz w:val="28"/>
          <w:szCs w:val="28"/>
          <w:highlight w:val="none"/>
          <w:lang w:val="en-US" w:eastAsia="zh-CN" w:bidi="ar-SA"/>
        </w:rPr>
        <w:t>3</w:t>
      </w:r>
      <w:r>
        <w:rPr>
          <w:rFonts w:hint="default" w:ascii="黑体" w:hAnsi="Calibri" w:eastAsia="黑体" w:cs="Times New Roman"/>
          <w:kern w:val="2"/>
          <w:sz w:val="28"/>
          <w:szCs w:val="28"/>
          <w:highlight w:val="none"/>
          <w:lang w:val="en-US" w:eastAsia="zh-CN" w:bidi="ar-SA"/>
        </w:rPr>
        <w:t>）培训到位率100%（分值</w:t>
      </w:r>
      <w:r>
        <w:rPr>
          <w:rFonts w:hint="eastAsia" w:ascii="黑体" w:eastAsia="黑体" w:cs="Times New Roman"/>
          <w:kern w:val="2"/>
          <w:sz w:val="28"/>
          <w:szCs w:val="28"/>
          <w:highlight w:val="none"/>
          <w:lang w:val="en-US" w:eastAsia="zh-CN" w:bidi="ar-SA"/>
        </w:rPr>
        <w:t>1</w:t>
      </w:r>
      <w:r>
        <w:rPr>
          <w:rFonts w:hint="default" w:ascii="黑体" w:hAnsi="Calibri" w:eastAsia="黑体" w:cs="Times New Roman"/>
          <w:kern w:val="2"/>
          <w:sz w:val="28"/>
          <w:szCs w:val="28"/>
          <w:highlight w:val="none"/>
          <w:lang w:val="en-US" w:eastAsia="zh-CN" w:bidi="ar-SA"/>
        </w:rPr>
        <w:t>分，得分</w:t>
      </w:r>
      <w:r>
        <w:rPr>
          <w:rFonts w:hint="eastAsia" w:ascii="黑体" w:eastAsia="黑体" w:cs="Times New Roman"/>
          <w:kern w:val="2"/>
          <w:sz w:val="28"/>
          <w:szCs w:val="28"/>
          <w:highlight w:val="none"/>
          <w:lang w:val="en-US" w:eastAsia="zh-CN" w:bidi="ar-SA"/>
        </w:rPr>
        <w:t>1</w:t>
      </w:r>
      <w:r>
        <w:rPr>
          <w:rFonts w:hint="default" w:ascii="黑体" w:hAnsi="Calibri" w:eastAsia="黑体" w:cs="Times New Roman"/>
          <w:kern w:val="2"/>
          <w:sz w:val="28"/>
          <w:szCs w:val="28"/>
          <w:highlight w:val="none"/>
          <w:lang w:val="en-US" w:eastAsia="zh-CN" w:bidi="ar-SA"/>
        </w:rPr>
        <w:t>分）</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default" w:ascii="仿宋_GB2312" w:hAnsi="仿宋_GB2312" w:eastAsia="仿宋_GB2312" w:cs="仿宋_GB2312"/>
          <w:kern w:val="2"/>
          <w:sz w:val="32"/>
          <w:szCs w:val="32"/>
          <w:highlight w:val="none"/>
          <w:lang w:val="en-US" w:eastAsia="zh-CN" w:bidi="ar-SA"/>
        </w:rPr>
        <w:t>通过培训，各部门加深了对医疗保险政策的理解，能够更加精准的为市民进行政策上解读等，即该指标为100%，经考核，本次得</w:t>
      </w:r>
      <w:r>
        <w:rPr>
          <w:rFonts w:hint="eastAsia" w:ascii="仿宋_GB2312" w:hAnsi="仿宋_GB2312" w:eastAsia="仿宋_GB2312" w:cs="仿宋_GB2312"/>
          <w:kern w:val="2"/>
          <w:sz w:val="32"/>
          <w:szCs w:val="32"/>
          <w:highlight w:val="none"/>
          <w:lang w:val="en-US" w:eastAsia="zh-CN" w:bidi="ar-SA"/>
        </w:rPr>
        <w:t>分1</w:t>
      </w:r>
      <w:r>
        <w:rPr>
          <w:rFonts w:hint="default" w:ascii="仿宋_GB2312" w:hAnsi="仿宋_GB2312" w:eastAsia="仿宋_GB2312" w:cs="仿宋_GB2312"/>
          <w:kern w:val="2"/>
          <w:sz w:val="32"/>
          <w:szCs w:val="32"/>
          <w:highlight w:val="none"/>
          <w:lang w:val="en-US" w:eastAsia="zh-CN" w:bidi="ar-SA"/>
        </w:rPr>
        <w:t>分。</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黑体" w:hAnsi="Calibri" w:eastAsia="黑体" w:cs="Times New Roman"/>
          <w:kern w:val="2"/>
          <w:sz w:val="28"/>
          <w:szCs w:val="28"/>
          <w:highlight w:val="none"/>
          <w:lang w:val="en-US" w:eastAsia="zh-CN" w:bidi="ar-SA"/>
        </w:rPr>
      </w:pPr>
      <w:r>
        <w:rPr>
          <w:rFonts w:hint="default" w:ascii="黑体" w:hAnsi="Calibri" w:eastAsia="黑体" w:cs="Times New Roman"/>
          <w:kern w:val="2"/>
          <w:sz w:val="28"/>
          <w:szCs w:val="28"/>
          <w:highlight w:val="none"/>
          <w:lang w:val="en-US" w:eastAsia="zh-CN" w:bidi="ar-SA"/>
        </w:rPr>
        <w:t>（</w:t>
      </w:r>
      <w:r>
        <w:rPr>
          <w:rFonts w:hint="eastAsia" w:ascii="黑体" w:eastAsia="黑体" w:cs="Times New Roman"/>
          <w:kern w:val="2"/>
          <w:sz w:val="28"/>
          <w:szCs w:val="28"/>
          <w:highlight w:val="none"/>
          <w:lang w:val="en-US" w:eastAsia="zh-CN" w:bidi="ar-SA"/>
        </w:rPr>
        <w:t>4</w:t>
      </w:r>
      <w:r>
        <w:rPr>
          <w:rFonts w:hint="default" w:ascii="黑体" w:hAnsi="Calibri" w:eastAsia="黑体" w:cs="Times New Roman"/>
          <w:kern w:val="2"/>
          <w:sz w:val="28"/>
          <w:szCs w:val="28"/>
          <w:highlight w:val="none"/>
          <w:lang w:val="en-US" w:eastAsia="zh-CN" w:bidi="ar-SA"/>
        </w:rPr>
        <w:t>）单据发放率100%（分值</w:t>
      </w:r>
      <w:r>
        <w:rPr>
          <w:rFonts w:hint="eastAsia" w:ascii="黑体" w:eastAsia="黑体" w:cs="Times New Roman"/>
          <w:kern w:val="2"/>
          <w:sz w:val="28"/>
          <w:szCs w:val="28"/>
          <w:highlight w:val="none"/>
          <w:lang w:val="en-US" w:eastAsia="zh-CN" w:bidi="ar-SA"/>
        </w:rPr>
        <w:t>2</w:t>
      </w:r>
      <w:r>
        <w:rPr>
          <w:rFonts w:hint="default" w:ascii="黑体" w:hAnsi="Calibri" w:eastAsia="黑体" w:cs="Times New Roman"/>
          <w:kern w:val="2"/>
          <w:sz w:val="28"/>
          <w:szCs w:val="28"/>
          <w:highlight w:val="none"/>
          <w:lang w:val="en-US" w:eastAsia="zh-CN" w:bidi="ar-SA"/>
        </w:rPr>
        <w:t>分，得分</w:t>
      </w:r>
      <w:r>
        <w:rPr>
          <w:rFonts w:hint="eastAsia" w:ascii="黑体" w:eastAsia="黑体" w:cs="Times New Roman"/>
          <w:kern w:val="2"/>
          <w:sz w:val="28"/>
          <w:szCs w:val="28"/>
          <w:highlight w:val="none"/>
          <w:lang w:val="en-US" w:eastAsia="zh-CN" w:bidi="ar-SA"/>
        </w:rPr>
        <w:t>2</w:t>
      </w:r>
      <w:r>
        <w:rPr>
          <w:rFonts w:hint="default" w:ascii="黑体" w:hAnsi="Calibri" w:eastAsia="黑体" w:cs="Times New Roman"/>
          <w:kern w:val="2"/>
          <w:sz w:val="28"/>
          <w:szCs w:val="28"/>
          <w:highlight w:val="none"/>
          <w:lang w:val="en-US" w:eastAsia="zh-CN" w:bidi="ar-SA"/>
        </w:rPr>
        <w:t>分）</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default" w:ascii="仿宋_GB2312" w:hAnsi="仿宋_GB2312" w:eastAsia="仿宋_GB2312" w:cs="仿宋_GB2312"/>
          <w:kern w:val="2"/>
          <w:sz w:val="32"/>
          <w:szCs w:val="32"/>
          <w:highlight w:val="none"/>
          <w:lang w:val="en-US" w:eastAsia="zh-CN" w:bidi="ar-SA"/>
        </w:rPr>
        <w:t>2020年度完成了既定的单据发放目标，即该指标为100%，经考核，本次得分</w:t>
      </w:r>
      <w:r>
        <w:rPr>
          <w:rFonts w:hint="eastAsia" w:ascii="仿宋_GB2312" w:hAnsi="仿宋_GB2312" w:eastAsia="仿宋_GB2312" w:cs="仿宋_GB2312"/>
          <w:kern w:val="2"/>
          <w:sz w:val="32"/>
          <w:szCs w:val="32"/>
          <w:highlight w:val="none"/>
          <w:lang w:val="en-US" w:eastAsia="zh-CN" w:bidi="ar-SA"/>
        </w:rPr>
        <w:t>2</w:t>
      </w:r>
      <w:r>
        <w:rPr>
          <w:rFonts w:hint="default" w:ascii="仿宋_GB2312" w:hAnsi="仿宋_GB2312" w:eastAsia="仿宋_GB2312" w:cs="仿宋_GB2312"/>
          <w:kern w:val="2"/>
          <w:sz w:val="32"/>
          <w:szCs w:val="32"/>
          <w:highlight w:val="none"/>
          <w:lang w:val="en-US" w:eastAsia="zh-CN" w:bidi="ar-SA"/>
        </w:rPr>
        <w:t>分。</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0"/>
        <w:rPr>
          <w:rFonts w:hint="eastAsia" w:ascii="黑体" w:hAnsi="Calibri" w:eastAsia="黑体" w:cs="Times New Roman"/>
          <w:sz w:val="28"/>
          <w:szCs w:val="28"/>
          <w:highlight w:val="none"/>
          <w:lang w:val="en-US" w:eastAsia="zh-CN"/>
        </w:rPr>
      </w:pPr>
      <w:r>
        <w:rPr>
          <w:rFonts w:hint="eastAsia" w:ascii="黑体" w:hAnsi="Calibri" w:eastAsia="黑体" w:cs="Times New Roman"/>
          <w:sz w:val="28"/>
          <w:szCs w:val="28"/>
          <w:highlight w:val="none"/>
          <w:lang w:val="en-US" w:eastAsia="zh-CN"/>
        </w:rPr>
        <w:t>3、产出时效指标情况分析（分值</w:t>
      </w:r>
      <w:r>
        <w:rPr>
          <w:rFonts w:hint="eastAsia" w:ascii="黑体" w:eastAsia="黑体" w:cs="Times New Roman"/>
          <w:sz w:val="28"/>
          <w:szCs w:val="28"/>
          <w:highlight w:val="none"/>
          <w:lang w:val="en-US" w:eastAsia="zh-CN"/>
        </w:rPr>
        <w:t>10</w:t>
      </w:r>
      <w:r>
        <w:rPr>
          <w:rFonts w:hint="eastAsia" w:ascii="黑体" w:hAnsi="Calibri" w:eastAsia="黑体" w:cs="Times New Roman"/>
          <w:sz w:val="28"/>
          <w:szCs w:val="28"/>
          <w:highlight w:val="none"/>
          <w:lang w:val="en-US" w:eastAsia="zh-CN"/>
        </w:rPr>
        <w:t>分，得分</w:t>
      </w:r>
      <w:r>
        <w:rPr>
          <w:rFonts w:hint="eastAsia" w:ascii="黑体" w:eastAsia="黑体" w:cs="Times New Roman"/>
          <w:sz w:val="28"/>
          <w:szCs w:val="28"/>
          <w:highlight w:val="none"/>
          <w:lang w:val="en-US" w:eastAsia="zh-CN"/>
        </w:rPr>
        <w:t>10</w:t>
      </w:r>
      <w:r>
        <w:rPr>
          <w:rFonts w:hint="eastAsia" w:ascii="黑体" w:hAnsi="Calibri" w:eastAsia="黑体" w:cs="Times New Roman"/>
          <w:sz w:val="28"/>
          <w:szCs w:val="28"/>
          <w:highlight w:val="none"/>
          <w:lang w:val="en-US" w:eastAsia="zh-CN"/>
        </w:rPr>
        <w:t>分）</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所有工作都按工作计划进行，医疗保险待遇发放工作完成及时性、生育保险待遇发放工作完成及时性、宣传工作完成及时性、培训工作完成及时性、单据发放及时性均为100%。根据评分标准，本次得分10分。</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0"/>
        <w:rPr>
          <w:rFonts w:hint="eastAsia" w:ascii="黑体" w:hAnsi="Calibri" w:eastAsia="黑体" w:cs="Times New Roman"/>
          <w:sz w:val="28"/>
          <w:szCs w:val="28"/>
          <w:highlight w:val="none"/>
          <w:lang w:val="en-US" w:eastAsia="zh-CN"/>
        </w:rPr>
      </w:pPr>
      <w:r>
        <w:rPr>
          <w:rFonts w:hint="eastAsia" w:ascii="黑体" w:hAnsi="Calibri" w:eastAsia="黑体" w:cs="Times New Roman"/>
          <w:sz w:val="28"/>
          <w:szCs w:val="28"/>
          <w:highlight w:val="none"/>
          <w:lang w:val="en-US" w:eastAsia="zh-CN"/>
        </w:rPr>
        <w:t>4、产出成本指标情况分析（分值</w:t>
      </w:r>
      <w:r>
        <w:rPr>
          <w:rFonts w:hint="eastAsia" w:ascii="黑体" w:eastAsia="黑体" w:cs="Times New Roman"/>
          <w:sz w:val="28"/>
          <w:szCs w:val="28"/>
          <w:highlight w:val="none"/>
          <w:lang w:val="en-US" w:eastAsia="zh-CN"/>
        </w:rPr>
        <w:t>10</w:t>
      </w:r>
      <w:r>
        <w:rPr>
          <w:rFonts w:hint="eastAsia" w:ascii="黑体" w:hAnsi="Calibri" w:eastAsia="黑体" w:cs="Times New Roman"/>
          <w:sz w:val="28"/>
          <w:szCs w:val="28"/>
          <w:highlight w:val="none"/>
          <w:lang w:val="en-US" w:eastAsia="zh-CN"/>
        </w:rPr>
        <w:t>分，得分</w:t>
      </w:r>
      <w:r>
        <w:rPr>
          <w:rFonts w:hint="eastAsia" w:ascii="黑体" w:eastAsia="黑体" w:cs="Times New Roman"/>
          <w:sz w:val="28"/>
          <w:szCs w:val="28"/>
          <w:highlight w:val="none"/>
          <w:lang w:val="en-US" w:eastAsia="zh-CN"/>
        </w:rPr>
        <w:t>10</w:t>
      </w:r>
      <w:r>
        <w:rPr>
          <w:rFonts w:hint="eastAsia" w:ascii="黑体" w:hAnsi="Calibri" w:eastAsia="黑体" w:cs="Times New Roman"/>
          <w:sz w:val="28"/>
          <w:szCs w:val="28"/>
          <w:highlight w:val="none"/>
          <w:lang w:val="en-US" w:eastAsia="zh-CN"/>
        </w:rPr>
        <w:t>分）</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所有资金都按工作计划进行支付执行，医疗保险待遇发放成本控制率、生育保险待遇发放成本控制率、宣传成本控制率、培训成本控制率、单据发放成本控制率均为100%。根据评分标准，本次得分10分。</w:t>
      </w:r>
    </w:p>
    <w:p>
      <w:pPr>
        <w:keepNext w:val="0"/>
        <w:keepLines w:val="0"/>
        <w:pageBreakBefore w:val="0"/>
        <w:kinsoku/>
        <w:wordWrap/>
        <w:overflowPunct/>
        <w:topLinePunct w:val="0"/>
        <w:autoSpaceDE/>
        <w:autoSpaceDN/>
        <w:bidi w:val="0"/>
        <w:adjustRightInd/>
        <w:snapToGrid/>
        <w:spacing w:line="600" w:lineRule="exact"/>
        <w:ind w:firstLine="562" w:firstLineChars="200"/>
        <w:textAlignment w:val="auto"/>
        <w:outlineLvl w:val="0"/>
        <w:rPr>
          <w:rFonts w:hint="eastAsia" w:ascii="楷体_GB2312" w:hAnsi="Calibri" w:eastAsia="楷体_GB2312" w:cs="Times New Roman"/>
          <w:b/>
          <w:color w:val="000000"/>
          <w:sz w:val="28"/>
          <w:szCs w:val="28"/>
          <w:highlight w:val="none"/>
          <w:lang w:eastAsia="zh-CN"/>
        </w:rPr>
      </w:pPr>
      <w:r>
        <w:rPr>
          <w:rFonts w:hint="eastAsia" w:ascii="楷体_GB2312" w:hAnsi="Calibri" w:eastAsia="楷体_GB2312" w:cs="Times New Roman"/>
          <w:b/>
          <w:color w:val="000000"/>
          <w:sz w:val="28"/>
          <w:szCs w:val="28"/>
          <w:highlight w:val="none"/>
          <w:lang w:eastAsia="zh-CN"/>
        </w:rPr>
        <w:t>（四）项目效益情况。</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0"/>
        <w:rPr>
          <w:rFonts w:hint="eastAsia" w:ascii="黑体" w:hAnsi="Calibri" w:eastAsia="黑体" w:cs="Times New Roman"/>
          <w:sz w:val="28"/>
          <w:szCs w:val="28"/>
          <w:highlight w:val="none"/>
          <w:lang w:val="en-US" w:eastAsia="zh-CN"/>
        </w:rPr>
      </w:pPr>
      <w:r>
        <w:rPr>
          <w:rFonts w:hint="eastAsia" w:ascii="黑体" w:eastAsia="黑体" w:cs="Times New Roman"/>
          <w:sz w:val="28"/>
          <w:szCs w:val="28"/>
          <w:highlight w:val="none"/>
          <w:lang w:val="en-US" w:eastAsia="zh-CN"/>
        </w:rPr>
        <w:t>1</w:t>
      </w:r>
      <w:r>
        <w:rPr>
          <w:rFonts w:hint="eastAsia" w:ascii="黑体" w:hAnsi="Calibri" w:eastAsia="黑体" w:cs="Times New Roman"/>
          <w:sz w:val="28"/>
          <w:szCs w:val="28"/>
          <w:highlight w:val="none"/>
          <w:lang w:val="en-US" w:eastAsia="zh-CN"/>
        </w:rPr>
        <w:t>、社会效益指标情况分析（分值10分，得分</w:t>
      </w:r>
      <w:r>
        <w:rPr>
          <w:rFonts w:hint="eastAsia" w:ascii="黑体" w:eastAsia="黑体" w:cs="Times New Roman"/>
          <w:sz w:val="28"/>
          <w:szCs w:val="28"/>
          <w:highlight w:val="none"/>
          <w:lang w:val="en-US" w:eastAsia="zh-CN"/>
        </w:rPr>
        <w:t>10</w:t>
      </w:r>
      <w:r>
        <w:rPr>
          <w:rFonts w:hint="eastAsia" w:ascii="黑体" w:hAnsi="Calibri" w:eastAsia="黑体" w:cs="Times New Roman"/>
          <w:sz w:val="28"/>
          <w:szCs w:val="28"/>
          <w:highlight w:val="none"/>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sz w:val="32"/>
          <w:szCs w:val="32"/>
          <w:highlight w:val="none"/>
          <w:lang w:val="en-US" w:eastAsia="zh-CN"/>
        </w:rPr>
        <w:t>通过项目的开展，解决了我市城乡居民医疗保险难题，提高了我市医疗保险覆盖面，进一步深化医保改革，提升医保经办服务水平。根据评分标准，本次得分10分。</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0"/>
        <w:rPr>
          <w:rFonts w:hint="eastAsia" w:ascii="黑体" w:hAnsi="Calibri" w:eastAsia="黑体" w:cs="Times New Roman"/>
          <w:sz w:val="28"/>
          <w:szCs w:val="28"/>
          <w:highlight w:val="none"/>
          <w:lang w:val="en-US" w:eastAsia="zh-CN"/>
        </w:rPr>
      </w:pPr>
      <w:r>
        <w:rPr>
          <w:rFonts w:hint="eastAsia" w:ascii="黑体" w:eastAsia="黑体" w:cs="Times New Roman"/>
          <w:sz w:val="28"/>
          <w:szCs w:val="28"/>
          <w:highlight w:val="none"/>
          <w:lang w:val="en-US" w:eastAsia="zh-CN"/>
        </w:rPr>
        <w:t>2</w:t>
      </w:r>
      <w:r>
        <w:rPr>
          <w:rFonts w:hint="eastAsia" w:ascii="黑体" w:hAnsi="Calibri" w:eastAsia="黑体" w:cs="Times New Roman"/>
          <w:sz w:val="28"/>
          <w:szCs w:val="28"/>
          <w:highlight w:val="none"/>
          <w:lang w:val="en-US" w:eastAsia="zh-CN"/>
        </w:rPr>
        <w:t>、可持续影响指标情况分析（分值</w:t>
      </w:r>
      <w:r>
        <w:rPr>
          <w:rFonts w:hint="eastAsia" w:ascii="黑体" w:eastAsia="黑体" w:cs="Times New Roman"/>
          <w:sz w:val="28"/>
          <w:szCs w:val="28"/>
          <w:highlight w:val="none"/>
          <w:lang w:val="en-US" w:eastAsia="zh-CN"/>
        </w:rPr>
        <w:t>10</w:t>
      </w:r>
      <w:r>
        <w:rPr>
          <w:rFonts w:hint="eastAsia" w:ascii="黑体" w:hAnsi="Calibri" w:eastAsia="黑体" w:cs="Times New Roman"/>
          <w:sz w:val="28"/>
          <w:szCs w:val="28"/>
          <w:highlight w:val="none"/>
          <w:lang w:val="en-US" w:eastAsia="zh-CN"/>
        </w:rPr>
        <w:t>分，得分</w:t>
      </w:r>
      <w:r>
        <w:rPr>
          <w:rFonts w:hint="eastAsia" w:ascii="黑体" w:eastAsia="黑体" w:cs="Times New Roman"/>
          <w:sz w:val="28"/>
          <w:szCs w:val="28"/>
          <w:highlight w:val="none"/>
          <w:lang w:val="en-US" w:eastAsia="zh-CN"/>
        </w:rPr>
        <w:t>10</w:t>
      </w:r>
      <w:r>
        <w:rPr>
          <w:rFonts w:hint="eastAsia" w:ascii="黑体" w:hAnsi="Calibri" w:eastAsia="黑体" w:cs="Times New Roman"/>
          <w:sz w:val="28"/>
          <w:szCs w:val="28"/>
          <w:highlight w:val="none"/>
          <w:lang w:val="en-US" w:eastAsia="zh-CN"/>
        </w:rPr>
        <w:t>分）</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通过医疗保险等业务的正常开展，促使社会保险业务长期发展，保障了我处服务意识，提高了我处工作效率，达到了年度既定目标。根据评分标准，本次得分10分。</w:t>
      </w:r>
    </w:p>
    <w:p>
      <w:pPr>
        <w:keepNext w:val="0"/>
        <w:keepLines w:val="0"/>
        <w:pageBreakBefore w:val="0"/>
        <w:kinsoku/>
        <w:wordWrap/>
        <w:overflowPunct/>
        <w:topLinePunct w:val="0"/>
        <w:autoSpaceDE/>
        <w:autoSpaceDN/>
        <w:bidi w:val="0"/>
        <w:adjustRightInd/>
        <w:snapToGrid/>
        <w:spacing w:line="600" w:lineRule="exact"/>
        <w:ind w:firstLine="562" w:firstLineChars="200"/>
        <w:textAlignment w:val="auto"/>
        <w:outlineLvl w:val="0"/>
        <w:rPr>
          <w:rFonts w:hint="default" w:ascii="楷体_GB2312" w:hAnsi="Calibri" w:eastAsia="楷体_GB2312" w:cs="Times New Roman"/>
          <w:b/>
          <w:color w:val="000000"/>
          <w:sz w:val="28"/>
          <w:szCs w:val="28"/>
          <w:highlight w:val="none"/>
          <w:lang w:val="en-US" w:eastAsia="zh-CN"/>
        </w:rPr>
      </w:pPr>
      <w:r>
        <w:rPr>
          <w:rFonts w:hint="eastAsia" w:ascii="楷体_GB2312" w:hAnsi="Calibri" w:eastAsia="楷体_GB2312" w:cs="Times New Roman"/>
          <w:b/>
          <w:color w:val="000000"/>
          <w:sz w:val="28"/>
          <w:szCs w:val="28"/>
          <w:highlight w:val="none"/>
          <w:lang w:val="en-US" w:eastAsia="zh-CN"/>
        </w:rPr>
        <w:t>（五）项目满意度情况</w:t>
      </w:r>
      <w:r>
        <w:rPr>
          <w:rFonts w:hint="eastAsia" w:ascii="楷体_GB2312" w:eastAsia="楷体_GB2312" w:cs="Times New Roman"/>
          <w:b/>
          <w:color w:val="000000"/>
          <w:sz w:val="28"/>
          <w:szCs w:val="28"/>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0"/>
        <w:rPr>
          <w:rFonts w:hint="eastAsia" w:ascii="黑体" w:hAnsi="Calibri" w:eastAsia="黑体" w:cs="Times New Roman"/>
          <w:sz w:val="28"/>
          <w:szCs w:val="28"/>
          <w:highlight w:val="none"/>
          <w:lang w:val="en-US" w:eastAsia="zh-CN"/>
        </w:rPr>
      </w:pPr>
      <w:r>
        <w:rPr>
          <w:rFonts w:hint="eastAsia" w:ascii="黑体" w:hAnsi="Calibri" w:eastAsia="黑体" w:cs="Times New Roman"/>
          <w:sz w:val="28"/>
          <w:szCs w:val="28"/>
          <w:highlight w:val="none"/>
          <w:lang w:val="en-US" w:eastAsia="zh-CN"/>
        </w:rPr>
        <w:t>1、满意度指标情况分析（分值10分，得分</w:t>
      </w:r>
      <w:r>
        <w:rPr>
          <w:rFonts w:hint="eastAsia" w:ascii="黑体" w:eastAsia="黑体" w:cs="Times New Roman"/>
          <w:sz w:val="28"/>
          <w:szCs w:val="28"/>
          <w:highlight w:val="none"/>
          <w:lang w:val="en-US" w:eastAsia="zh-CN"/>
        </w:rPr>
        <w:t>5</w:t>
      </w:r>
      <w:r>
        <w:rPr>
          <w:rFonts w:hint="eastAsia" w:ascii="黑体" w:hAnsi="Calibri" w:eastAsia="黑体" w:cs="Times New Roman"/>
          <w:sz w:val="28"/>
          <w:szCs w:val="28"/>
          <w:highlight w:val="none"/>
          <w:lang w:val="en-US" w:eastAsia="zh-CN"/>
        </w:rPr>
        <w:t>分）</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2020年在全体职工的共同努力下，通过医疗保险业务工作的开展，保证了我市医疗保障行业稳定运行，根据调查，社会群众满意率达80%，未完成年初目标。根据评分标准，此项得5分，扣5分。</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default" w:ascii="仿宋_GB2312" w:hAnsi="仿宋_GB2312" w:eastAsia="仿宋_GB2312" w:cs="仿宋_GB2312"/>
          <w:kern w:val="2"/>
          <w:sz w:val="32"/>
          <w:szCs w:val="32"/>
          <w:highlight w:val="none"/>
          <w:lang w:val="en-US" w:eastAsia="zh-CN" w:bidi="ar-SA"/>
        </w:rPr>
        <w:t>综合所得，2020年度医疗保险业务及办公经费补助项目能够按照要求、对照标准进行实施，并且制定了长效的管理制度，严格资金使用，</w:t>
      </w:r>
      <w:r>
        <w:rPr>
          <w:rFonts w:hint="eastAsia" w:ascii="仿宋_GB2312" w:hAnsi="仿宋_GB2312" w:eastAsia="仿宋_GB2312" w:cs="仿宋_GB2312"/>
          <w:kern w:val="2"/>
          <w:sz w:val="32"/>
          <w:szCs w:val="32"/>
          <w:highlight w:val="none"/>
          <w:lang w:val="en-US" w:eastAsia="zh-CN" w:bidi="ar-SA"/>
        </w:rPr>
        <w:t>评价</w:t>
      </w:r>
      <w:r>
        <w:rPr>
          <w:rFonts w:hint="default" w:ascii="仿宋_GB2312" w:hAnsi="仿宋_GB2312" w:eastAsia="仿宋_GB2312" w:cs="仿宋_GB2312"/>
          <w:kern w:val="2"/>
          <w:sz w:val="32"/>
          <w:szCs w:val="32"/>
          <w:highlight w:val="none"/>
          <w:lang w:val="en-US" w:eastAsia="zh-CN" w:bidi="ar-SA"/>
        </w:rPr>
        <w:t>总分为9</w:t>
      </w:r>
      <w:r>
        <w:rPr>
          <w:rFonts w:hint="eastAsia" w:ascii="仿宋_GB2312" w:hAnsi="仿宋_GB2312" w:eastAsia="仿宋_GB2312" w:cs="仿宋_GB2312"/>
          <w:kern w:val="2"/>
          <w:sz w:val="32"/>
          <w:szCs w:val="32"/>
          <w:highlight w:val="none"/>
          <w:lang w:val="en-US" w:eastAsia="zh-CN" w:bidi="ar-SA"/>
        </w:rPr>
        <w:t>3</w:t>
      </w:r>
      <w:r>
        <w:rPr>
          <w:rFonts w:hint="default" w:ascii="仿宋_GB2312" w:hAnsi="仿宋_GB2312" w:eastAsia="仿宋_GB2312" w:cs="仿宋_GB2312"/>
          <w:kern w:val="2"/>
          <w:sz w:val="32"/>
          <w:szCs w:val="32"/>
          <w:highlight w:val="none"/>
          <w:lang w:val="en-US" w:eastAsia="zh-CN" w:bidi="ar-SA"/>
        </w:rPr>
        <w:t>分，后经绩效评价小组复核分数为9</w:t>
      </w:r>
      <w:r>
        <w:rPr>
          <w:rFonts w:hint="eastAsia" w:ascii="仿宋_GB2312" w:hAnsi="仿宋_GB2312" w:eastAsia="仿宋_GB2312" w:cs="仿宋_GB2312"/>
          <w:kern w:val="2"/>
          <w:sz w:val="32"/>
          <w:szCs w:val="32"/>
          <w:highlight w:val="none"/>
          <w:lang w:val="en-US" w:eastAsia="zh-CN" w:bidi="ar-SA"/>
        </w:rPr>
        <w:t>3</w:t>
      </w:r>
      <w:r>
        <w:rPr>
          <w:rFonts w:hint="default" w:ascii="仿宋_GB2312" w:hAnsi="仿宋_GB2312" w:eastAsia="仿宋_GB2312" w:cs="仿宋_GB2312"/>
          <w:kern w:val="2"/>
          <w:sz w:val="32"/>
          <w:szCs w:val="32"/>
          <w:highlight w:val="none"/>
          <w:lang w:val="en-US" w:eastAsia="zh-CN" w:bidi="ar-SA"/>
        </w:rPr>
        <w:t>分，分值在90-100分内，等级优秀。</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0"/>
        <w:rPr>
          <w:rFonts w:hint="eastAsia" w:ascii="黑体" w:hAnsi="Calibri" w:eastAsia="黑体" w:cs="Times New Roman"/>
          <w:sz w:val="28"/>
          <w:szCs w:val="28"/>
          <w:highlight w:val="none"/>
          <w:lang w:val="en-US" w:eastAsia="zh-CN"/>
        </w:rPr>
      </w:pPr>
      <w:r>
        <w:rPr>
          <w:rFonts w:hint="eastAsia" w:ascii="黑体" w:hAnsi="Calibri" w:eastAsia="黑体" w:cs="Times New Roman"/>
          <w:sz w:val="28"/>
          <w:szCs w:val="28"/>
          <w:highlight w:val="none"/>
          <w:lang w:val="en-US" w:eastAsia="zh-CN"/>
        </w:rPr>
        <w:t>五、主要经验及做法、存在的问题及原因分析</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0"/>
        <w:rPr>
          <w:rFonts w:hint="eastAsia" w:ascii="黑体" w:hAnsi="Calibri" w:eastAsia="黑体" w:cs="Times New Roman"/>
          <w:sz w:val="28"/>
          <w:szCs w:val="28"/>
          <w:highlight w:val="none"/>
          <w:lang w:val="en-US" w:eastAsia="zh-CN"/>
        </w:rPr>
      </w:pPr>
      <w:r>
        <w:rPr>
          <w:rFonts w:hint="eastAsia" w:ascii="黑体" w:hAnsi="Calibri" w:eastAsia="黑体" w:cs="Times New Roman"/>
          <w:sz w:val="28"/>
          <w:szCs w:val="28"/>
          <w:highlight w:val="none"/>
          <w:lang w:val="en-US" w:eastAsia="zh-CN"/>
        </w:rPr>
        <w:t>1、主要经验及做法</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1）坚持“先规划、再行动”，以规划任务目标统领全盘工作。在医疗保险业务及办公经费补助项目实施工作开展之前，</w:t>
      </w:r>
      <w:r>
        <w:rPr>
          <w:rFonts w:hint="default" w:ascii="仿宋_GB2312" w:hAnsi="仿宋_GB2312" w:eastAsia="仿宋_GB2312" w:cs="仿宋_GB2312"/>
          <w:sz w:val="32"/>
          <w:szCs w:val="32"/>
          <w:highlight w:val="none"/>
        </w:rPr>
        <w:t>南昌市医疗保险事业管理处</w:t>
      </w:r>
      <w:r>
        <w:rPr>
          <w:rFonts w:hint="eastAsia" w:ascii="仿宋_GB2312" w:hAnsi="仿宋_GB2312" w:eastAsia="仿宋_GB2312" w:cs="仿宋_GB2312"/>
          <w:sz w:val="32"/>
          <w:szCs w:val="32"/>
          <w:highlight w:val="none"/>
          <w:lang w:val="en-US" w:eastAsia="zh-CN"/>
        </w:rPr>
        <w:t>就着手调查研究，从项目政策符合性、落地可行性等方面对项目进行筛选，初步确定医疗保险业务及办公经费补助工作经费资金项目规划实施目标。</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（2）强化前期工作，为项目实施奠定基础。在医疗保险业务及办公经费补助项目实施前期工作中，</w:t>
      </w:r>
      <w:r>
        <w:rPr>
          <w:rFonts w:hint="default" w:ascii="仿宋_GB2312" w:hAnsi="仿宋_GB2312" w:eastAsia="仿宋_GB2312" w:cs="仿宋_GB2312"/>
          <w:sz w:val="32"/>
          <w:szCs w:val="32"/>
          <w:highlight w:val="none"/>
        </w:rPr>
        <w:t>南昌市医疗保险事业管理处</w:t>
      </w:r>
      <w:r>
        <w:rPr>
          <w:rFonts w:hint="eastAsia" w:ascii="仿宋_GB2312" w:hAnsi="仿宋_GB2312" w:eastAsia="仿宋_GB2312" w:cs="仿宋_GB2312"/>
          <w:sz w:val="32"/>
          <w:szCs w:val="32"/>
          <w:highlight w:val="none"/>
          <w:lang w:val="en-US" w:eastAsia="zh-CN"/>
        </w:rPr>
        <w:t>组织专家、相关技术人员进行现场调查，再次对项目各方面指标进行判定，再次确定项目规划目标可达性。</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（3）加强监督管理，确保项目进度和质量。</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0"/>
        <w:rPr>
          <w:rFonts w:hint="default" w:ascii="黑体" w:hAnsi="Calibri" w:eastAsia="黑体" w:cs="Times New Roman"/>
          <w:sz w:val="28"/>
          <w:szCs w:val="28"/>
          <w:highlight w:val="none"/>
          <w:lang w:val="en-US" w:eastAsia="zh-CN"/>
        </w:rPr>
      </w:pPr>
      <w:r>
        <w:rPr>
          <w:rFonts w:hint="eastAsia" w:ascii="黑体" w:hAnsi="Calibri" w:eastAsia="黑体" w:cs="Times New Roman"/>
          <w:sz w:val="28"/>
          <w:szCs w:val="28"/>
          <w:highlight w:val="none"/>
          <w:lang w:val="en-US" w:eastAsia="zh-CN"/>
        </w:rPr>
        <w:t>2、存在的问题及原因分析</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在医疗保险业务及办公经费补助项目中存在享受职工医疗待遇人员未达到年初既定目标的问题。</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 w:hAnsi="仿宋" w:eastAsia="仿宋" w:cs="仿宋"/>
          <w:sz w:val="32"/>
          <w:szCs w:val="32"/>
          <w:highlight w:val="none"/>
          <w:lang w:val="en-US" w:eastAsia="zh-CN"/>
        </w:rPr>
      </w:pPr>
      <w:r>
        <w:rPr>
          <w:rFonts w:hint="eastAsia" w:ascii="仿宋_GB2312" w:hAnsi="仿宋_GB2312" w:eastAsia="仿宋_GB2312" w:cs="仿宋_GB2312"/>
          <w:sz w:val="32"/>
          <w:szCs w:val="32"/>
          <w:highlight w:val="none"/>
          <w:lang w:val="en-US" w:eastAsia="zh-CN"/>
        </w:rPr>
        <w:t>其主要原因是当前医保信息系统的运维费经费仍还在申请中，暂未落实，医保信息系统非正常工作对全市参保对象和定点医药机构医保待遇结算产生一定的影响，从而导致职工医疗待遇人数未达到年初既定目标。</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0"/>
        <w:rPr>
          <w:rFonts w:hint="eastAsia" w:ascii="黑体" w:hAnsi="Calibri" w:eastAsia="黑体" w:cs="Times New Roman"/>
          <w:sz w:val="28"/>
          <w:szCs w:val="28"/>
          <w:highlight w:val="none"/>
          <w:lang w:val="en-US" w:eastAsia="zh-CN"/>
        </w:rPr>
      </w:pPr>
      <w:r>
        <w:rPr>
          <w:rFonts w:hint="eastAsia" w:ascii="黑体" w:hAnsi="Calibri" w:eastAsia="黑体" w:cs="Times New Roman"/>
          <w:sz w:val="28"/>
          <w:szCs w:val="28"/>
          <w:highlight w:val="none"/>
          <w:lang w:val="en-US" w:eastAsia="zh-CN"/>
        </w:rPr>
        <w:t>六、有关建议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default" w:ascii="仿宋_GB2312" w:hAnsi="仿宋_GB2312" w:eastAsia="仿宋_GB2312" w:cs="仿宋_GB2312"/>
          <w:sz w:val="32"/>
          <w:szCs w:val="32"/>
          <w:highlight w:val="none"/>
          <w:lang w:val="en-US" w:eastAsia="zh-CN"/>
        </w:rPr>
        <w:t>通过放开同城互办业务功能，按照《“赣服通”3.0版建设工作方案的通知》要求，推动医保政务服务事项“无证办理”，加快推进南昌“智慧医保”APP与“赣服通”3.0版的对接，打造“互联网+”线上服务平台和实现“赣服通”医保电子凭证在定点医药机构的移动支付，让群众享受规范、透明、高效的医保服务。对于群众满意度的提高，需加强工作人员业务培训工作，提高服务意识，保障医保工作正常开展，为群众提供便捷服务。</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olor w:val="000000"/>
          <w:sz w:val="28"/>
          <w:szCs w:val="28"/>
          <w:highlight w:val="none"/>
        </w:rPr>
      </w:pPr>
      <w:r>
        <w:rPr>
          <w:rFonts w:hint="eastAsia" w:ascii="黑体" w:hAnsi="黑体" w:eastAsia="黑体"/>
          <w:color w:val="000000"/>
          <w:sz w:val="28"/>
          <w:szCs w:val="28"/>
          <w:highlight w:val="none"/>
        </w:rPr>
        <w:t>七、其他需要说明的问题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sz w:val="32"/>
          <w:szCs w:val="32"/>
          <w:highlight w:val="none"/>
          <w:lang w:val="en-US" w:eastAsia="zh-CN"/>
        </w:rPr>
        <w:t>无。</w:t>
      </w:r>
    </w:p>
    <w:p>
      <w:pPr>
        <w:pStyle w:val="4"/>
        <w:rPr>
          <w:rFonts w:hint="eastAsia"/>
          <w:highlight w:val="none"/>
          <w:lang w:eastAsia="zh-CN"/>
        </w:rPr>
      </w:pPr>
    </w:p>
    <w:p>
      <w:pPr>
        <w:pStyle w:val="4"/>
        <w:rPr>
          <w:rFonts w:hint="eastAsia"/>
          <w:highlight w:val="none"/>
          <w:lang w:eastAsia="zh-CN"/>
        </w:rPr>
      </w:pPr>
    </w:p>
    <w:p>
      <w:pPr>
        <w:pStyle w:val="4"/>
        <w:rPr>
          <w:rFonts w:hint="eastAsia"/>
          <w:highlight w:val="none"/>
          <w:lang w:eastAsia="zh-CN"/>
        </w:rPr>
      </w:pPr>
    </w:p>
    <w:p>
      <w:pPr>
        <w:pStyle w:val="2"/>
        <w:ind w:left="0" w:leftChars="0" w:firstLine="0" w:firstLineChars="0"/>
        <w:jc w:val="right"/>
        <w:rPr>
          <w:rFonts w:hint="eastAsia" w:ascii="仿宋" w:hAnsi="仿宋" w:eastAsia="仿宋" w:cs="仿宋_GB2312"/>
          <w:sz w:val="32"/>
          <w:szCs w:val="32"/>
          <w:highlight w:val="none"/>
          <w:lang w:eastAsia="zh-CN"/>
        </w:rPr>
      </w:pPr>
      <w:r>
        <w:rPr>
          <w:rFonts w:hint="eastAsia" w:ascii="仿宋" w:hAnsi="仿宋" w:eastAsia="仿宋" w:cs="仿宋_GB2312"/>
          <w:sz w:val="32"/>
          <w:szCs w:val="32"/>
          <w:highlight w:val="none"/>
          <w:lang w:eastAsia="zh-CN"/>
        </w:rPr>
        <w:t>南昌市医疗保障局</w:t>
      </w:r>
    </w:p>
    <w:p>
      <w:pPr>
        <w:pStyle w:val="2"/>
        <w:ind w:left="0" w:leftChars="0" w:firstLine="0" w:firstLineChars="0"/>
        <w:jc w:val="right"/>
        <w:rPr>
          <w:rFonts w:hint="default" w:ascii="仿宋" w:hAnsi="仿宋" w:eastAsia="仿宋" w:cs="仿宋_GB2312"/>
          <w:sz w:val="32"/>
          <w:szCs w:val="32"/>
          <w:highlight w:val="none"/>
          <w:lang w:val="en-US" w:eastAsia="zh-CN"/>
        </w:rPr>
      </w:pPr>
      <w:r>
        <w:rPr>
          <w:rFonts w:hint="eastAsia" w:ascii="仿宋" w:hAnsi="仿宋" w:eastAsia="仿宋" w:cs="仿宋_GB2312"/>
          <w:sz w:val="32"/>
          <w:szCs w:val="32"/>
          <w:highlight w:val="none"/>
          <w:lang w:val="en-US" w:eastAsia="zh-CN"/>
        </w:rPr>
        <w:t>2021年5月20日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000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chineseCounting"/>
      <w:suff w:val="nothing"/>
      <w:lvlText w:val="（%1）"/>
      <w:lvlJc w:val="left"/>
      <w:pPr>
        <w:ind w:left="6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755706"/>
    <w:rsid w:val="7C481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8">
    <w:name w:val="Default Paragraph Font"/>
    <w:qFormat/>
    <w:uiPriority w:val="0"/>
  </w:style>
  <w:style w:type="table" w:default="1" w:styleId="7">
    <w:name w:val="Normal Table"/>
    <w:qFormat/>
    <w:uiPriority w:val="0"/>
    <w:tblPr>
      <w:tblCellMar>
        <w:top w:w="0" w:type="dxa"/>
        <w:left w:w="108" w:type="dxa"/>
        <w:bottom w:w="0" w:type="dxa"/>
        <w:right w:w="108" w:type="dxa"/>
      </w:tblCellMar>
    </w:tblPr>
  </w:style>
  <w:style w:type="paragraph" w:customStyle="1" w:styleId="2">
    <w:name w:val="Body Text Indent1"/>
    <w:basedOn w:val="1"/>
    <w:qFormat/>
    <w:uiPriority w:val="0"/>
    <w:pPr>
      <w:ind w:left="420" w:leftChars="200"/>
    </w:pPr>
    <w:rPr>
      <w:rFonts w:ascii="Times New Roman" w:hAnsi="Times New Roman" w:eastAsia="宋体" w:cs="Times New Roman"/>
    </w:rPr>
  </w:style>
  <w:style w:type="paragraph" w:styleId="3">
    <w:name w:val="annotation text"/>
    <w:basedOn w:val="1"/>
    <w:qFormat/>
    <w:uiPriority w:val="0"/>
    <w:pPr>
      <w:jc w:val="left"/>
    </w:pPr>
  </w:style>
  <w:style w:type="paragraph" w:styleId="4">
    <w:name w:val="Body Text"/>
    <w:basedOn w:val="1"/>
    <w:qFormat/>
    <w:uiPriority w:val="0"/>
    <w:rPr>
      <w:b/>
      <w:bCs/>
      <w:sz w:val="44"/>
      <w:szCs w:val="44"/>
    </w:rPr>
  </w:style>
  <w:style w:type="paragraph" w:styleId="5">
    <w:name w:val="Body Text Indent"/>
    <w:basedOn w:val="1"/>
    <w:qFormat/>
    <w:uiPriority w:val="0"/>
    <w:pPr>
      <w:spacing w:line="580" w:lineRule="exact"/>
      <w:ind w:left="901" w:leftChars="429" w:firstLine="600" w:firstLineChars="200"/>
    </w:pPr>
    <w:rPr>
      <w:rFonts w:ascii="仿宋_GB2312" w:hAnsi="Times New Roman" w:eastAsia="仿宋_GB2312"/>
      <w:sz w:val="30"/>
      <w:szCs w:val="20"/>
    </w:rPr>
  </w:style>
  <w:style w:type="paragraph" w:styleId="6">
    <w:name w:val="Body Text First Indent 2"/>
    <w:basedOn w:val="5"/>
    <w:qFormat/>
    <w:uiPriority w:val="0"/>
    <w:pPr>
      <w:ind w:firstLine="420"/>
    </w:pPr>
  </w:style>
  <w:style w:type="paragraph" w:customStyle="1" w:styleId="9">
    <w:name w:val="Body Text First Indent 21"/>
    <w:basedOn w:val="1"/>
    <w:qFormat/>
    <w:uiPriority w:val="0"/>
    <w:pPr>
      <w:ind w:left="420" w:leftChars="200" w:firstLine="210"/>
    </w:pPr>
    <w:rPr>
      <w:rFonts w:ascii="Calibri" w:hAnsi="Calibr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9333</Words>
  <Characters>10331</Characters>
  <Paragraphs>746</Paragraphs>
  <TotalTime>28</TotalTime>
  <ScaleCrop>false</ScaleCrop>
  <LinksUpToDate>false</LinksUpToDate>
  <CharactersWithSpaces>10572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2021-04-25T08:37:00Z</dcterms:created>
  <dc:creator>初めから</dc:creator>
  <cp:lastModifiedBy>YiBaoJu</cp:lastModifiedBy>
  <dcterms:modified xsi:type="dcterms:W3CDTF">2021-09-22T08:32:32Z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FC086257190847CDA6C1EC2BB544AD61</vt:lpwstr>
  </property>
</Properties>
</file>