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2-1</w:t>
      </w:r>
      <w:r>
        <w:rPr>
          <w:rFonts w:hint="eastAsia" w:ascii="黑体" w:hAnsi="黑体" w:eastAsia="黑体"/>
          <w:color w:val="000000"/>
          <w:sz w:val="32"/>
          <w:szCs w:val="32"/>
        </w:rPr>
        <w:t>: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项目支出绩效自评表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（</w:t>
      </w:r>
      <w:r>
        <w:rPr>
          <w:rFonts w:hint="eastAsia" w:ascii="黑体" w:hAnsi="宋体" w:eastAsia="黑体" w:cs="宋体"/>
          <w:color w:val="000000"/>
          <w:kern w:val="0"/>
          <w:szCs w:val="21"/>
          <w:lang w:val="en-US" w:eastAsia="zh-CN"/>
        </w:rPr>
        <w:t>2020</w:t>
      </w:r>
      <w:r>
        <w:rPr>
          <w:rFonts w:hint="eastAsia" w:ascii="黑体" w:hAnsi="宋体" w:eastAsia="黑体" w:cs="宋体"/>
          <w:color w:val="000000"/>
          <w:kern w:val="0"/>
          <w:szCs w:val="21"/>
        </w:rPr>
        <w:t>年度）</w:t>
      </w:r>
    </w:p>
    <w:tbl>
      <w:tblPr>
        <w:tblStyle w:val="3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754"/>
        <w:gridCol w:w="1327"/>
        <w:gridCol w:w="726"/>
        <w:gridCol w:w="1265"/>
        <w:gridCol w:w="144"/>
        <w:gridCol w:w="1115"/>
        <w:gridCol w:w="770"/>
        <w:gridCol w:w="336"/>
        <w:gridCol w:w="140"/>
        <w:gridCol w:w="476"/>
        <w:gridCol w:w="98"/>
        <w:gridCol w:w="686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7693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  <w:t>医疗保障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工作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4577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  <w:t>南昌市医疗保障局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实施单位</w:t>
            </w: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  <w:t>南昌市医疗保障局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4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项目资金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年初预算数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全年预算数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全年执行数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执行率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3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年度资金总额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117.42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117.42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117.42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3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其中：当年财政拨款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117.42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117.42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117.42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3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 xml:space="preserve">      上年结转资金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/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/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/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/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3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 xml:space="preserve">  其他资金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/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/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/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/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年度总体目标</w:t>
            </w:r>
          </w:p>
        </w:tc>
        <w:tc>
          <w:tcPr>
            <w:tcW w:w="533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预期目标</w:t>
            </w:r>
          </w:p>
        </w:tc>
        <w:tc>
          <w:tcPr>
            <w:tcW w:w="3116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533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不断优化医疗流程，对医保体验进行升级，并不断完善异地就医保障。开展打击欺诈骗保专项行动，持续两定医药机构智能化监管工作。制定普通门诊统筹制度，对城乡居民医保政策不断调整完善，织密扎牢基本医疗保障网。简化医疗保障扶贫报销手续，深入推进医疗保障扶贫工作。</w:t>
            </w:r>
          </w:p>
        </w:tc>
        <w:tc>
          <w:tcPr>
            <w:tcW w:w="3116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截至2020年12月31日，已基本完成了项目年初既定工作计划，为完善医保流程，本年度对全市2000家定点医疗机构进行了监管核查工作，同时对医保工作人员进行了有效的业务培训，提高医保服务水平。积极推进全市医疗保障标准化和信息化建设，稳步推进生育保险和职工基本医疗保险合并工作落地见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绩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标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二级指标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三级指标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年度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指标值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实际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完成值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得分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(50分）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数量指标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对全市2000家定点医疗机构展开核查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医保工作培训2次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医保信息系统建设1套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医保信息系统还处于建设中，需加快信息建设进程。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质量指标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定点医疗机构核查合规率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医保工作培训合格率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医保信息系统验收合格率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医保信息系统还处于建设中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时效指标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对定点医疗机构核查及时性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医保工作培训及时性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医保信息系统建设及时性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成本指标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医疗保障工作与医保工作培训成本控制率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医疗保障信息系统成本控制率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(30分）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经济效益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社会效益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15分）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定点医疗机构问题整治，改善社会医疗保障流程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7.5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7.5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完善城乡居民医保政策，为异地就医保障提供便利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7.5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7.5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生态效益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无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可持续影响指标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15分）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医疗保险制度体系健全性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90%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15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15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满意度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(10分）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服务对象满意度指标（10分）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参保人员满意度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 w:firstLine="400" w:firstLineChars="200"/>
              <w:jc w:val="both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95%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95%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both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6687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总分</w:t>
            </w:r>
          </w:p>
        </w:tc>
        <w:tc>
          <w:tcPr>
            <w:tcW w:w="4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100</w:t>
            </w:r>
          </w:p>
        </w:tc>
        <w:tc>
          <w:tcPr>
            <w:tcW w:w="5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92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A1641"/>
    <w:rsid w:val="1AE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2021-09-16T16:41:00Z</dcterms:created>
  <dc:creator>初めから</dc:creator>
  <cp:lastModifiedBy>初めから</cp:lastModifiedBy>
  <dcterms:modified xsi:type="dcterms:W3CDTF">2021-09-16T16:45:32Z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72FFF931B72042A5BF9639886B4989AC</vt:lpwstr>
  </property>
</Properties>
</file>