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附件2-2：</w:t>
      </w:r>
    </w:p>
    <w:tbl>
      <w:tblPr>
        <w:tblStyle w:val="3"/>
        <w:tblpPr w:leftFromText="180" w:rightFromText="180" w:vertAnchor="text" w:horzAnchor="page" w:tblpX="1101" w:tblpY="243"/>
        <w:tblOverlap w:val="never"/>
        <w:tblW w:w="9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071"/>
        <w:gridCol w:w="1003"/>
        <w:gridCol w:w="1056"/>
        <w:gridCol w:w="1572"/>
        <w:gridCol w:w="827"/>
        <w:gridCol w:w="873"/>
        <w:gridCol w:w="483"/>
        <w:gridCol w:w="342"/>
        <w:gridCol w:w="422"/>
        <w:gridCol w:w="291"/>
        <w:gridCol w:w="629"/>
        <w:gridCol w:w="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998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9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（  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项目名称</w:t>
            </w:r>
          </w:p>
        </w:tc>
        <w:tc>
          <w:tcPr>
            <w:tcW w:w="82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医疗保险业务及办公经费补助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主管部门</w:t>
            </w:r>
          </w:p>
        </w:tc>
        <w:tc>
          <w:tcPr>
            <w:tcW w:w="4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南昌市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医疗保障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局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实施单位</w:t>
            </w:r>
          </w:p>
        </w:tc>
        <w:tc>
          <w:tcPr>
            <w:tcW w:w="2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南昌市医疗保险事业管理处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项目资金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（万元）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预算数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预算数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执行数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分值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执行率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年度资金总额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364.26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364.26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364.26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其中：当年财政拨款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364.26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364.26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364.26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—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    上年结转资金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—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1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 其他资金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—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年度总体目标</w:t>
            </w:r>
          </w:p>
        </w:tc>
        <w:tc>
          <w:tcPr>
            <w:tcW w:w="5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预期目标</w:t>
            </w:r>
          </w:p>
        </w:tc>
        <w:tc>
          <w:tcPr>
            <w:tcW w:w="3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/>
              </w:rPr>
            </w:pPr>
            <w:r>
              <w:rPr>
                <w:rFonts w:hint="default" w:ascii="黑体" w:hAnsi="宋体" w:eastAsia="黑体" w:cs="宋体"/>
                <w:kern w:val="0"/>
                <w:szCs w:val="21"/>
                <w:lang w:val="en-US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通过预算资金项目的实施，健全医保体系建设，进一步深化医保改革</w:t>
            </w: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，提升医保经办服务水平、加强医保信息化建设等方面下功夫，全力推进我市医疗保障事业高质量发展。</w:t>
            </w:r>
          </w:p>
        </w:tc>
        <w:tc>
          <w:tcPr>
            <w:tcW w:w="3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通过项目的实施，按照相关文件、政策规定向市民发放医疗、生育等保险待遇，完成了医疗保险等相关业务，保障了本单位医保经办服务的提升，同时为参保人员提供了方便快捷的享受到医疗保险的福利。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绩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效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指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标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一级指标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二级指标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三级指标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指标值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完成值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分值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得分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产出指标（50分）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数量指标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（20分）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享受职工医疗保险待遇5970000人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23.13%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由于当前医保信息系统的运维费经费暂未落实，对全市参保对象和定点医药机构医保待遇结算存在一定影响。采取线上与线下相结合的服务举措为参保群众提供更多便捷服务。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享受居民医疗保待遇4000000人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享受生育保险待遇26000人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医疗保险等业务宣传4次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举办医疗保险会议3次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转移业务邮寄单据数10000件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rPr>
          <w:trHeight w:val="589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质量指标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（15分）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按相关文件、政策规定发放职工医疗保险待遇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按相关文件、政策规定发放居民医疗保险待遇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按相关文件、政策规定发放生育保险待遇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业务宣传率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培训到位率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单据发放率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时效指标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（5分）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医疗保险待遇发放工作完成及时性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生育保险待遇发放工作完成及时性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宣传工作完成及时性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培训工作完成及时性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单据发放及时性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成本指标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（10分）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医疗保险待遇发放成本控制率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生育保险待遇发放成本控制率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宣传成本控制率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培训成本控制率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单据发放成本控制率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效益指标（30分）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指标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(15分）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解决我市城乡居民医疗保险难题，提高我市医疗保险覆盖面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显著提高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显著提高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指标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可持续影响指标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(15分）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社会保险业务长期发展，保持我处服务意识，提高我处工作效率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显著提高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显著提高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满意度指</w:t>
            </w: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（10</w:t>
            </w: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分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）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服务对象满意度指标（10分）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群众满意率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80%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工作人员医保服务需提升。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7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93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326D3"/>
    <w:rsid w:val="0AA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2021-09-16T16:45:00Z</dcterms:created>
  <dc:creator>初めから</dc:creator>
  <cp:lastModifiedBy>初めから</cp:lastModifiedBy>
  <dcterms:modified xsi:type="dcterms:W3CDTF">2021-09-16T16:46:24Z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D585FBBCFAEE400DAD04F0CA5EA2FD64</vt:lpwstr>
  </property>
</Properties>
</file>