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22"/>
        <w:gridCol w:w="1841"/>
        <w:gridCol w:w="2198"/>
        <w:gridCol w:w="961"/>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jc w:val="center"/>
              <w:rPr>
                <w:rFonts w:hint="eastAsia"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kern w:val="2"/>
                <w:sz w:val="28"/>
                <w:szCs w:val="28"/>
                <w:vertAlign w:val="baseline"/>
                <w:lang w:val="en-US" w:eastAsia="zh-CN" w:bidi="ar-SA"/>
              </w:rPr>
              <w:t>序号</w:t>
            </w:r>
          </w:p>
        </w:tc>
        <w:tc>
          <w:tcPr>
            <w:tcW w:w="1722" w:type="dxa"/>
            <w:noWrap w:val="0"/>
            <w:vAlign w:val="top"/>
          </w:tcPr>
          <w:p>
            <w:pPr>
              <w:numPr>
                <w:ilvl w:val="0"/>
                <w:numId w:val="0"/>
              </w:numPr>
              <w:jc w:val="center"/>
              <w:rPr>
                <w:rFonts w:hint="eastAsia"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kern w:val="2"/>
                <w:sz w:val="28"/>
                <w:szCs w:val="28"/>
                <w:vertAlign w:val="baseline"/>
                <w:lang w:val="en-US" w:eastAsia="zh-CN" w:bidi="ar-SA"/>
              </w:rPr>
              <w:t>单位</w:t>
            </w:r>
          </w:p>
        </w:tc>
        <w:tc>
          <w:tcPr>
            <w:tcW w:w="1841" w:type="dxa"/>
            <w:noWrap w:val="0"/>
            <w:vAlign w:val="top"/>
          </w:tcPr>
          <w:p>
            <w:pPr>
              <w:numPr>
                <w:ilvl w:val="0"/>
                <w:numId w:val="0"/>
              </w:numPr>
              <w:jc w:val="center"/>
              <w:rPr>
                <w:rFonts w:hint="eastAsia"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kern w:val="2"/>
                <w:sz w:val="28"/>
                <w:szCs w:val="28"/>
                <w:vertAlign w:val="baseline"/>
                <w:lang w:val="en-US" w:eastAsia="zh-CN" w:bidi="ar-SA"/>
              </w:rPr>
              <w:t>单位意见</w:t>
            </w:r>
          </w:p>
        </w:tc>
        <w:tc>
          <w:tcPr>
            <w:tcW w:w="2198" w:type="dxa"/>
            <w:noWrap w:val="0"/>
            <w:vAlign w:val="top"/>
          </w:tcPr>
          <w:p>
            <w:pPr>
              <w:numPr>
                <w:ilvl w:val="0"/>
                <w:numId w:val="0"/>
              </w:numPr>
              <w:jc w:val="center"/>
              <w:rPr>
                <w:rFonts w:hint="eastAsia"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kern w:val="2"/>
                <w:sz w:val="28"/>
                <w:szCs w:val="28"/>
                <w:vertAlign w:val="baseline"/>
                <w:lang w:val="en-US" w:eastAsia="zh-CN" w:bidi="ar-SA"/>
              </w:rPr>
              <w:t>是否采纳</w:t>
            </w:r>
          </w:p>
        </w:tc>
        <w:tc>
          <w:tcPr>
            <w:tcW w:w="961" w:type="dxa"/>
            <w:noWrap w:val="0"/>
            <w:vAlign w:val="top"/>
          </w:tcPr>
          <w:p>
            <w:pPr>
              <w:numPr>
                <w:ilvl w:val="0"/>
                <w:numId w:val="0"/>
              </w:numPr>
              <w:jc w:val="center"/>
              <w:rPr>
                <w:rFonts w:hint="eastAsia"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kern w:val="2"/>
                <w:sz w:val="28"/>
                <w:szCs w:val="28"/>
                <w:vertAlign w:val="baseline"/>
                <w:lang w:val="en-US" w:eastAsia="zh-CN" w:bidi="ar-SA"/>
              </w:rPr>
              <w:t>理由</w:t>
            </w:r>
          </w:p>
        </w:tc>
        <w:tc>
          <w:tcPr>
            <w:tcW w:w="983" w:type="dxa"/>
            <w:noWrap w:val="0"/>
            <w:vAlign w:val="top"/>
          </w:tcPr>
          <w:p>
            <w:pPr>
              <w:numPr>
                <w:ilvl w:val="0"/>
                <w:numId w:val="0"/>
              </w:numPr>
              <w:jc w:val="center"/>
              <w:rPr>
                <w:rFonts w:hint="eastAsia" w:ascii="方正仿宋_GBK" w:hAnsi="方正仿宋_GBK" w:eastAsia="方正仿宋_GBK" w:cs="方正仿宋_GBK"/>
                <w:kern w:val="2"/>
                <w:sz w:val="28"/>
                <w:szCs w:val="28"/>
                <w:vertAlign w:val="baseline"/>
                <w:lang w:val="en-US" w:eastAsia="zh-CN" w:bidi="ar-SA"/>
              </w:rPr>
            </w:pPr>
            <w:r>
              <w:rPr>
                <w:rFonts w:hint="eastAsia" w:ascii="方正仿宋_GBK" w:hAnsi="方正仿宋_GBK" w:eastAsia="方正仿宋_GBK" w:cs="方正仿宋_GBK"/>
                <w:kern w:val="2"/>
                <w:sz w:val="28"/>
                <w:szCs w:val="28"/>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w:t>
            </w:r>
          </w:p>
          <w:p>
            <w:pPr>
              <w:numPr>
                <w:ilvl w:val="0"/>
                <w:numId w:val="0"/>
              </w:numPr>
              <w:rPr>
                <w:rFonts w:hint="default" w:ascii="方正仿宋_GBK" w:hAnsi="方正仿宋_GBK" w:eastAsia="方正仿宋_GBK" w:cs="方正仿宋_GBK"/>
                <w:kern w:val="2"/>
                <w:sz w:val="18"/>
                <w:szCs w:val="18"/>
                <w:vertAlign w:val="baseline"/>
                <w:lang w:val="en-US" w:eastAsia="zh-CN" w:bidi="ar-SA"/>
              </w:rPr>
            </w:pPr>
          </w:p>
        </w:tc>
        <w:tc>
          <w:tcPr>
            <w:tcW w:w="1722" w:type="dxa"/>
            <w:vMerge w:val="restart"/>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南昌市财政局</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征求意见稿第二十二条提出“建立门诊共济基金……，实行专账管理，……”，前后文也多次提到了“门诊共济基金”，并针对性地提出了管理和监督办法。建议按照国家和省级相关文件，仍然按照基本医保中个人账户和统筹账户提出管理和监督实施细则，不创建门诊共济基金，修改相关表述。</w:t>
            </w:r>
          </w:p>
        </w:tc>
        <w:tc>
          <w:tcPr>
            <w:tcW w:w="2198"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已采纳。删除了《征求意见稿》中所有“门诊共济基金</w:t>
            </w:r>
            <w:r>
              <w:rPr>
                <w:rFonts w:hint="default" w:ascii="方正仿宋_GBK" w:hAnsi="方正仿宋_GBK" w:eastAsia="方正仿宋_GBK" w:cs="方正仿宋_GBK"/>
                <w:kern w:val="2"/>
                <w:sz w:val="18"/>
                <w:szCs w:val="18"/>
                <w:vertAlign w:val="baseline"/>
                <w:lang w:val="en-US" w:eastAsia="zh-CN" w:bidi="ar-SA"/>
              </w:rPr>
              <w:t>”</w:t>
            </w:r>
            <w:r>
              <w:rPr>
                <w:rFonts w:hint="eastAsia" w:ascii="方正仿宋_GBK" w:hAnsi="方正仿宋_GBK" w:eastAsia="方正仿宋_GBK" w:cs="方正仿宋_GBK"/>
                <w:kern w:val="2"/>
                <w:sz w:val="18"/>
                <w:szCs w:val="18"/>
                <w:vertAlign w:val="baseline"/>
                <w:lang w:val="en-US" w:eastAsia="zh-CN" w:bidi="ar-SA"/>
              </w:rPr>
              <w:t>的表述。将第二十二条修改为：调整统筹基金和个账账户结构后，增加的统筹基金分科目核算管理，用于保障普通门诊统筹待遇。出现超支时，超支部分由职工医保统筹基金历年滚存结余支付。</w:t>
            </w: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p>
        </w:tc>
        <w:tc>
          <w:tcPr>
            <w:tcW w:w="1722" w:type="dxa"/>
            <w:vMerge w:val="continue"/>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2、征求意见稿第二十二条“门诊共济基金出现结余时，根据实际情况调整提高普通门诊统筹待遇标准”与第九条内容有些相似，建议合并表述。</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已采纳。将第二十二条修改为：调整统筹基金和个账账户结构后，增加的统筹基金分科目核算管理，用于保障普通门诊统筹待遇。出现超支时，超支部分由职工医保统筹基金历年滚存结余支付。</w:t>
            </w: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p>
        </w:tc>
        <w:tc>
          <w:tcPr>
            <w:tcW w:w="1722" w:type="dxa"/>
            <w:vMerge w:val="continue"/>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3、征求意见稿第二十三条“机关事业补充医疗保险及抗美援朝、企业军转干部医疗专项救助中划拨个人账户的标准按相关文件规定执行。”建议删除，若确需参照执行，建议征求省医保部门意见，在附则中体现。</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已采纳。删除了该条。</w:t>
            </w:r>
          </w:p>
        </w:tc>
        <w:tc>
          <w:tcPr>
            <w:tcW w:w="961"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Merge w:val="continue"/>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p>
        </w:tc>
        <w:tc>
          <w:tcPr>
            <w:tcW w:w="1722" w:type="dxa"/>
            <w:vMerge w:val="continue"/>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1841"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4、征求意见稿第七章，未全面将《江西省人民政府办公厅关于建立健全江西省职工基本医疗保险门诊共济保障机制的实施意见》（赣府厅发﹝2021﹞47号，以下简称“省实施意见”）中第（六）大点“加强监督管理”的内容涵盖，建议补充完善。1、增加“严格执行医保基金预算管理制度，加强基金稽核制度和内控制度建设。”</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已采纳。在第四十条里增加了“严格执行医保基金预算管理制度，加强基金稽核制度和内控制度建设。”内容。</w:t>
            </w: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1841" w:type="dxa"/>
            <w:noWrap w:val="0"/>
            <w:vAlign w:val="top"/>
          </w:tcPr>
          <w:p>
            <w:pPr>
              <w:numPr>
                <w:ilvl w:val="0"/>
                <w:numId w:val="0"/>
              </w:numPr>
              <w:ind w:left="0" w:leftChars="0" w:firstLine="0" w:firstLineChars="0"/>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5、增加“建立对个人账户全流程动态管理机制，加强对个人账户使用、结算等环节的审核，强化医保与公安户籍、民政婚姻登记等信息的共享。”</w:t>
            </w:r>
          </w:p>
        </w:tc>
        <w:tc>
          <w:tcPr>
            <w:tcW w:w="2198" w:type="dxa"/>
            <w:noWrap w:val="0"/>
            <w:vAlign w:val="top"/>
          </w:tcPr>
          <w:p>
            <w:pPr>
              <w:numPr>
                <w:ilvl w:val="0"/>
                <w:numId w:val="0"/>
              </w:numPr>
              <w:ind w:left="0" w:leftChars="0" w:firstLine="0" w:firstLineChars="0"/>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已采纳。增加相关内容，即第三十九“建立对个人账户全流程动态管理机制，加强对个人账户使用、结算等环节的审核，强化医保与公安户籍、民政婚姻登记等信息的共享。”</w:t>
            </w:r>
          </w:p>
        </w:tc>
        <w:tc>
          <w:tcPr>
            <w:tcW w:w="961" w:type="dxa"/>
            <w:noWrap w:val="0"/>
            <w:vAlign w:val="top"/>
          </w:tcPr>
          <w:p>
            <w:pPr>
              <w:numPr>
                <w:ilvl w:val="0"/>
                <w:numId w:val="0"/>
              </w:numPr>
              <w:ind w:left="0" w:leftChars="0" w:firstLine="0" w:firstLineChars="0"/>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2</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市卫生健康委</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3</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市民政局</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4</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市公安局</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5</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市审计局</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6</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市税务局</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7</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市市场监管局</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8</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南昌县人民政府</w:t>
            </w:r>
          </w:p>
        </w:tc>
        <w:tc>
          <w:tcPr>
            <w:tcW w:w="1841"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9</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进贤县人民政府</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10</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安义县人民政府</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11</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东湖区人民政府</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12</w:t>
            </w:r>
          </w:p>
          <w:p>
            <w:pPr>
              <w:numPr>
                <w:ilvl w:val="0"/>
                <w:numId w:val="0"/>
              </w:numPr>
              <w:rPr>
                <w:rFonts w:hint="default" w:ascii="方正仿宋_GBK" w:hAnsi="方正仿宋_GBK" w:eastAsia="方正仿宋_GBK" w:cs="方正仿宋_GBK"/>
                <w:kern w:val="2"/>
                <w:sz w:val="18"/>
                <w:szCs w:val="18"/>
                <w:vertAlign w:val="baseline"/>
                <w:lang w:val="en-US" w:eastAsia="zh-CN" w:bidi="ar-SA"/>
              </w:rPr>
            </w:pPr>
          </w:p>
        </w:tc>
        <w:tc>
          <w:tcPr>
            <w:tcW w:w="1722" w:type="dxa"/>
            <w:vMerge w:val="restart"/>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西湖区人民政府</w:t>
            </w:r>
          </w:p>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1、针对第六章“费用结算”第三十四条“参保人员凭电子医保凭证或本人社会保障卡……”，建议修改为“参保人员凭医保电子凭证或本人社会保障卡……”</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已采纳。相关内容已全部改正。</w:t>
            </w: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p>
        </w:tc>
        <w:tc>
          <w:tcPr>
            <w:tcW w:w="1722" w:type="dxa"/>
            <w:vMerge w:val="continue"/>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2、针对第六章“费用结算”第三十六条相关内容，建议修改为“参保人员因客观原因来不及刷卡的在医疗机构补刷卡，或在医疗机构手工报销”</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未采纳。</w:t>
            </w: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1、在医疗机构补刷既不符合规定，也不利于基金监管；2、医疗机构没有手工报销的职责。</w:t>
            </w: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13</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青云谱区人民政府</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14</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青山湖区人民政府</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15</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新建区人民政府</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16</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红谷滩区人民政府</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17</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高新区管委会</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18</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经开区组织与人力资源部</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19</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湾里管理局</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20</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通过官网向公众征求意见</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numPr>
                <w:ilvl w:val="0"/>
                <w:numId w:val="0"/>
              </w:numPr>
              <w:rPr>
                <w:rFonts w:hint="default"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21</w:t>
            </w:r>
          </w:p>
        </w:tc>
        <w:tc>
          <w:tcPr>
            <w:tcW w:w="1722"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市医疗保障局法制审核意见</w:t>
            </w:r>
          </w:p>
        </w:tc>
        <w:tc>
          <w:tcPr>
            <w:tcW w:w="184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r>
              <w:rPr>
                <w:rFonts w:hint="eastAsia" w:ascii="方正仿宋_GBK" w:hAnsi="方正仿宋_GBK" w:eastAsia="方正仿宋_GBK" w:cs="方正仿宋_GBK"/>
                <w:kern w:val="2"/>
                <w:sz w:val="18"/>
                <w:szCs w:val="18"/>
                <w:vertAlign w:val="baseline"/>
                <w:lang w:val="en-US" w:eastAsia="zh-CN" w:bidi="ar-SA"/>
              </w:rPr>
              <w:t>无意见</w:t>
            </w:r>
          </w:p>
        </w:tc>
        <w:tc>
          <w:tcPr>
            <w:tcW w:w="2198"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61"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c>
          <w:tcPr>
            <w:tcW w:w="983" w:type="dxa"/>
            <w:noWrap w:val="0"/>
            <w:vAlign w:val="top"/>
          </w:tcPr>
          <w:p>
            <w:pPr>
              <w:numPr>
                <w:ilvl w:val="0"/>
                <w:numId w:val="0"/>
              </w:numPr>
              <w:rPr>
                <w:rFonts w:hint="eastAsia" w:ascii="方正仿宋_GBK" w:hAnsi="方正仿宋_GBK" w:eastAsia="方正仿宋_GBK" w:cs="方正仿宋_GBK"/>
                <w:kern w:val="2"/>
                <w:sz w:val="18"/>
                <w:szCs w:val="18"/>
                <w:vertAlign w:val="baseline"/>
                <w:lang w:val="en-US" w:eastAsia="zh-CN" w:bidi="ar-SA"/>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ZDNjYjUxNGI1Mjg0ZDc4M2Q1ZjhhZGYxYjU4M2YifQ=="/>
  </w:docVars>
  <w:rsids>
    <w:rsidRoot w:val="00000000"/>
    <w:rsid w:val="18F4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2022-09-30T03:43:07Z</dcterms:created>
  <dc:creator>Administrator</dc:creator>
  <cp:lastModifiedBy>帅的不动声色</cp:lastModifiedBy>
  <dcterms:modified xsi:type="dcterms:W3CDTF">2022-09-30T03:43:40Z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3085A6D92646419F91A8EF846D8C032C</vt:lpwstr>
  </property>
</Properties>
</file>